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3BE8FD" w14:textId="77777777" w:rsidR="00F765FC" w:rsidRPr="00F765FC" w:rsidRDefault="00F765FC" w:rsidP="00F765FC">
      <w:pPr>
        <w:pStyle w:val="Graphicsanchor"/>
      </w:pPr>
      <w:r>
        <w:rPr>
          <w:noProof/>
        </w:rPr>
        <mc:AlternateContent>
          <mc:Choice Requires="wps">
            <w:drawing>
              <wp:anchor distT="0" distB="0" distL="114300" distR="114300" simplePos="0" relativeHeight="251659264" behindDoc="1" locked="1" layoutInCell="1" allowOverlap="1" wp14:anchorId="0F5E2E89" wp14:editId="2E2AECB2">
                <wp:simplePos x="0" y="0"/>
                <wp:positionH relativeFrom="page">
                  <wp:posOffset>0</wp:posOffset>
                </wp:positionH>
                <wp:positionV relativeFrom="paragraph">
                  <wp:posOffset>-914400</wp:posOffset>
                </wp:positionV>
                <wp:extent cx="9677400" cy="10915650"/>
                <wp:effectExtent l="0" t="0" r="0" b="0"/>
                <wp:wrapNone/>
                <wp:docPr id="1123754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77400" cy="10915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3DA2C" id="Rectangle 2" o:spid="_x0000_s1026" alt="&quot;&quot;" style="position:absolute;margin-left:0;margin-top:-1in;width:762pt;height:8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" fillcolor="white [3212]" stroked="f" strokeweight="1pt">
                <w10:wrap anchorx="page"/>
                <w10:anchorlock/>
              </v:rect>
            </w:pict>
          </mc:Fallback>
        </mc:AlternateContent>
      </w:r>
    </w:p>
    <w:p w14:paraId="0C660FE0" w14:textId="43EC564C" w:rsidR="006D7A6C" w:rsidRPr="006D7A6C" w:rsidRDefault="006D7A6C" w:rsidP="00011E30">
      <w:pPr>
        <w:pStyle w:val="Toprowtext"/>
      </w:pPr>
      <w:r w:rsidRPr="00FE2AAF">
        <w:rPr>
          <w:rFonts w:ascii="Arial" w:hAnsi="Arial" w:cs="Arial"/>
          <w:sz w:val="24"/>
          <w:szCs w:val="24"/>
        </w:rPr>
        <w:t>Prepared b</w:t>
      </w:r>
      <w:r w:rsidR="0020573F" w:rsidRPr="00FE2AAF">
        <w:rPr>
          <w:rFonts w:ascii="Arial" w:hAnsi="Arial" w:cs="Arial"/>
          <w:sz w:val="24"/>
          <w:szCs w:val="24"/>
        </w:rPr>
        <w:t>y</w:t>
      </w:r>
      <w:r w:rsidR="00B10CCA" w:rsidRPr="00FE2AAF">
        <w:rPr>
          <w:rFonts w:ascii="Arial" w:hAnsi="Arial" w:cs="Arial"/>
          <w:sz w:val="24"/>
          <w:szCs w:val="24"/>
        </w:rPr>
        <w:t>:</w:t>
      </w:r>
      <w:r w:rsidR="0020573F" w:rsidRPr="00FE2AAF">
        <w:rPr>
          <w:rFonts w:ascii="Arial" w:hAnsi="Arial" w:cs="Arial"/>
          <w:sz w:val="24"/>
          <w:szCs w:val="24"/>
        </w:rPr>
        <w:t xml:space="preserve"> </w:t>
      </w:r>
      <w:r w:rsidR="00B10CCA" w:rsidRPr="00FE2AAF">
        <w:rPr>
          <w:rFonts w:ascii="Arial" w:hAnsi="Arial" w:cs="Arial"/>
          <w:sz w:val="24"/>
          <w:szCs w:val="24"/>
        </w:rPr>
        <w:t>Evelyn Smith</w:t>
      </w:r>
      <w:r w:rsidRPr="006D7A6C">
        <w:tab/>
      </w:r>
      <w:r w:rsidR="0020573F" w:rsidRPr="00FE2AAF">
        <w:rPr>
          <w:rFonts w:ascii="Arial" w:hAnsi="Arial" w:cs="Arial"/>
          <w:sz w:val="24"/>
          <w:szCs w:val="24"/>
        </w:rPr>
        <w:t>August 8, 2026</w:t>
      </w:r>
    </w:p>
    <w:p w14:paraId="427BAF4F" w14:textId="5C91DF40" w:rsidR="006D7A6C" w:rsidRPr="00FE2AAF" w:rsidRDefault="0020573F" w:rsidP="003471E8">
      <w:pPr>
        <w:pStyle w:val="QuarterNumber"/>
        <w:rPr>
          <w:rFonts w:ascii="Arial" w:hAnsi="Arial" w:cs="Arial"/>
        </w:rPr>
      </w:pPr>
      <w:r w:rsidRPr="00FE2AAF">
        <w:rPr>
          <w:rFonts w:ascii="Arial" w:hAnsi="Arial" w:cs="Arial"/>
        </w:rPr>
        <w:t xml:space="preserve">task </w:t>
      </w:r>
      <w:r w:rsidR="003A5B80">
        <w:rPr>
          <w:rFonts w:ascii="Arial" w:hAnsi="Arial" w:cs="Arial"/>
        </w:rPr>
        <w:t>2</w:t>
      </w:r>
    </w:p>
    <w:p w14:paraId="1E01469D" w14:textId="49B0DEC0" w:rsidR="006D7A6C" w:rsidRPr="00FE2AAF" w:rsidRDefault="003A5B80" w:rsidP="003471E8">
      <w:pPr>
        <w:pStyle w:val="Title"/>
        <w:rPr>
          <w:rFonts w:ascii="Arial" w:hAnsi="Arial" w:cs="Arial"/>
        </w:rPr>
      </w:pPr>
      <w:r>
        <w:rPr>
          <w:rFonts w:ascii="Arial" w:hAnsi="Arial" w:cs="Arial"/>
        </w:rPr>
        <w:t>goodwill impairment</w:t>
      </w:r>
    </w:p>
    <w:p w14:paraId="31FEB181" w14:textId="3A979D25" w:rsidR="006D7A6C" w:rsidRPr="00FE2AAF" w:rsidRDefault="0020573F" w:rsidP="003471E8">
      <w:pPr>
        <w:pStyle w:val="Subtitle"/>
        <w:rPr>
          <w:rFonts w:ascii="Arial" w:hAnsi="Arial" w:cs="Arial"/>
        </w:rPr>
      </w:pPr>
      <w:r w:rsidRPr="00FE2AAF">
        <w:rPr>
          <w:rFonts w:ascii="Arial" w:hAnsi="Arial" w:cs="Arial"/>
        </w:rPr>
        <w:t>ACCOUNTING RESEARCH AND CRITICAL THINKING – D252</w:t>
      </w:r>
    </w:p>
    <w:p w14:paraId="12EC6BBF" w14:textId="682B2366" w:rsidR="006D7A6C" w:rsidRPr="00FE2AAF" w:rsidRDefault="0020573F" w:rsidP="00011E30">
      <w:pPr>
        <w:pStyle w:val="bottomrowtext"/>
        <w:spacing w:before="4440"/>
        <w:rPr>
          <w:rFonts w:ascii="Arial" w:hAnsi="Arial" w:cs="Arial"/>
          <w:sz w:val="24"/>
          <w:szCs w:val="24"/>
        </w:rPr>
      </w:pPr>
      <w:r w:rsidRPr="00FE2AAF">
        <w:rPr>
          <w:rFonts w:ascii="Arial" w:hAnsi="Arial" w:cs="Arial"/>
          <w:sz w:val="24"/>
          <w:szCs w:val="24"/>
        </w:rPr>
        <w:t>Submitted to: Clint Dillard, cpa, cgma</w:t>
      </w:r>
      <w:r w:rsidR="006D7A6C" w:rsidRPr="00FE2AAF">
        <w:rPr>
          <w:rFonts w:ascii="Arial" w:hAnsi="Arial" w:cs="Arial"/>
          <w:sz w:val="24"/>
          <w:szCs w:val="24"/>
        </w:rPr>
        <w:tab/>
      </w:r>
    </w:p>
    <w:p w14:paraId="12EE359D" w14:textId="77777777" w:rsidR="001F3549" w:rsidRDefault="001F3549" w:rsidP="001F3549"/>
    <w:p w14:paraId="578B767D" w14:textId="77777777" w:rsidR="001F3549" w:rsidRPr="001F3549" w:rsidRDefault="001F3549" w:rsidP="001F3549">
      <w:pPr>
        <w:sectPr w:rsidR="001F3549" w:rsidRPr="001F3549" w:rsidSect="00FE2AAF">
          <w:pgSz w:w="12240" w:h="15840" w:code="1"/>
          <w:pgMar w:top="1440" w:right="1440" w:bottom="1440" w:left="1440" w:header="720" w:footer="360" w:gutter="0"/>
          <w:cols w:space="720"/>
          <w:titlePg/>
          <w:docGrid w:linePitch="360"/>
        </w:sectPr>
      </w:pPr>
    </w:p>
    <w:p w14:paraId="0E577260" w14:textId="5A6AF1A7" w:rsidR="00483DCB" w:rsidRPr="00483DCB" w:rsidRDefault="00483DCB" w:rsidP="00483DCB">
      <w:pPr>
        <w:shd w:val="clear" w:color="auto" w:fill="FFFFFF"/>
        <w:spacing w:after="0" w:line="240" w:lineRule="auto"/>
        <w:jc w:val="left"/>
        <w:outlineLvl w:val="0"/>
        <w:rPr>
          <w:rFonts w:ascii="Arial" w:eastAsia="Times New Roman" w:hAnsi="Arial" w:cs="Arial"/>
          <w:b/>
          <w:bCs/>
          <w:color w:val="0D0D0D"/>
          <w:kern w:val="36"/>
          <w:sz w:val="24"/>
          <w:szCs w:val="24"/>
          <w:lang w:eastAsia="en-US"/>
        </w:rPr>
      </w:pPr>
      <w:r w:rsidRPr="00483DCB">
        <w:rPr>
          <w:rFonts w:ascii="Arial" w:eastAsia="Times New Roman" w:hAnsi="Arial" w:cs="Arial"/>
          <w:b/>
          <w:bCs/>
          <w:color w:val="0D0D0D"/>
          <w:kern w:val="36"/>
          <w:sz w:val="24"/>
          <w:szCs w:val="24"/>
          <w:lang w:eastAsia="en-US"/>
        </w:rPr>
        <w:lastRenderedPageBreak/>
        <w:t>Part A</w:t>
      </w:r>
      <w:r>
        <w:rPr>
          <w:rFonts w:ascii="Arial" w:eastAsia="Times New Roman" w:hAnsi="Arial" w:cs="Arial"/>
          <w:b/>
          <w:bCs/>
          <w:color w:val="0D0D0D"/>
          <w:kern w:val="36"/>
          <w:sz w:val="24"/>
          <w:szCs w:val="24"/>
          <w:lang w:eastAsia="en-US"/>
        </w:rPr>
        <w:t xml:space="preserve">: </w:t>
      </w:r>
      <w:r w:rsidRPr="00483DCB">
        <w:rPr>
          <w:rFonts w:ascii="Arial" w:eastAsia="Times New Roman" w:hAnsi="Arial" w:cs="Arial"/>
          <w:b/>
          <w:bCs/>
          <w:color w:val="0D0D0D"/>
          <w:kern w:val="36"/>
          <w:sz w:val="24"/>
          <w:szCs w:val="24"/>
          <w:lang w:eastAsia="en-US"/>
        </w:rPr>
        <w:t xml:space="preserve">Research </w:t>
      </w:r>
      <w:r>
        <w:rPr>
          <w:rFonts w:ascii="Arial" w:eastAsia="Times New Roman" w:hAnsi="Arial" w:cs="Arial"/>
          <w:b/>
          <w:bCs/>
          <w:color w:val="0D0D0D"/>
          <w:kern w:val="36"/>
          <w:sz w:val="24"/>
          <w:szCs w:val="24"/>
          <w:lang w:eastAsia="en-US"/>
        </w:rPr>
        <w:t>on</w:t>
      </w:r>
      <w:r w:rsidRPr="00483DCB">
        <w:rPr>
          <w:rFonts w:ascii="Arial" w:eastAsia="Times New Roman" w:hAnsi="Arial" w:cs="Arial"/>
          <w:b/>
          <w:bCs/>
          <w:color w:val="0D0D0D"/>
          <w:kern w:val="36"/>
          <w:sz w:val="24"/>
          <w:szCs w:val="24"/>
          <w:lang w:eastAsia="en-US"/>
        </w:rPr>
        <w:t xml:space="preserve"> ASC 350 Goodwill Impairment Standards</w:t>
      </w:r>
    </w:p>
    <w:p w14:paraId="4BCB92DC" w14:textId="3F77FE3A"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Pr>
          <w:rFonts w:ascii="Arial" w:eastAsia="Times New Roman" w:hAnsi="Arial" w:cs="Arial"/>
          <w:color w:val="0D0D0D"/>
          <w:sz w:val="24"/>
          <w:szCs w:val="24"/>
          <w:lang w:eastAsia="en-US"/>
        </w:rPr>
        <w:t>According to</w:t>
      </w:r>
      <w:r w:rsidR="00FC68A1">
        <w:rPr>
          <w:rFonts w:ascii="Arial" w:eastAsia="Times New Roman" w:hAnsi="Arial" w:cs="Arial"/>
          <w:color w:val="0D0D0D"/>
          <w:sz w:val="24"/>
          <w:szCs w:val="24"/>
          <w:lang w:eastAsia="en-US"/>
        </w:rPr>
        <w:t xml:space="preserve"> FASB Accounting Standards Codification (ASC) Topic 350, Intangibles,</w:t>
      </w:r>
      <w:r>
        <w:rPr>
          <w:rFonts w:ascii="Arial" w:eastAsia="Times New Roman" w:hAnsi="Arial" w:cs="Arial"/>
          <w:color w:val="0D0D0D"/>
          <w:sz w:val="24"/>
          <w:szCs w:val="24"/>
          <w:lang w:eastAsia="en-US"/>
        </w:rPr>
        <w:t xml:space="preserve"> Goodwill and Other, provides guidance on determining the applicable goodwill impairment treatment under various</w:t>
      </w:r>
      <w:r w:rsidRPr="00483DCB">
        <w:rPr>
          <w:rFonts w:ascii="Arial" w:eastAsia="Times New Roman" w:hAnsi="Arial" w:cs="Arial"/>
          <w:color w:val="0D0D0D"/>
          <w:sz w:val="24"/>
          <w:szCs w:val="24"/>
          <w:lang w:eastAsia="en-US"/>
        </w:rPr>
        <w:t xml:space="preserve"> circumstances. The following summarizes the relevant authoritative guidance for reporting units with similar and dissimilar economic characteristics, public and private companies, the private-company accounting alternative, and triggering events.</w:t>
      </w:r>
    </w:p>
    <w:p w14:paraId="06A1A6C4" w14:textId="77777777"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5BCDCE6C" w14:textId="1259F9B3"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 xml:space="preserve">A1. </w:t>
      </w:r>
      <w:r>
        <w:rPr>
          <w:rFonts w:ascii="Arial" w:eastAsia="Times New Roman" w:hAnsi="Arial" w:cs="Arial"/>
          <w:b/>
          <w:bCs/>
          <w:color w:val="0D0D0D"/>
          <w:sz w:val="24"/>
          <w:szCs w:val="24"/>
          <w:lang w:eastAsia="en-US"/>
        </w:rPr>
        <w:t>The company has similar economic characteristics</w:t>
      </w:r>
    </w:p>
    <w:p w14:paraId="0174F089"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7E3C6F70" w14:textId="23D1B5C0" w:rsidR="00483DCB" w:rsidRPr="00204268" w:rsidRDefault="00483DCB" w:rsidP="00483DCB">
      <w:pPr>
        <w:numPr>
          <w:ilvl w:val="0"/>
          <w:numId w:val="15"/>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 - Goodwill and Other</w:t>
      </w:r>
    </w:p>
    <w:p w14:paraId="6F8C1A51" w14:textId="77777777" w:rsidR="00483DCB" w:rsidRPr="00204268" w:rsidRDefault="00483DCB" w:rsidP="00483DCB">
      <w:pPr>
        <w:numPr>
          <w:ilvl w:val="0"/>
          <w:numId w:val="15"/>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6CDA79C1" w14:textId="77777777" w:rsidR="00483DCB" w:rsidRPr="00204268" w:rsidRDefault="00483DCB" w:rsidP="00483DCB">
      <w:pPr>
        <w:numPr>
          <w:ilvl w:val="0"/>
          <w:numId w:val="15"/>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147DC359" w14:textId="77777777" w:rsidR="00483DCB" w:rsidRPr="00204268" w:rsidRDefault="00483DCB" w:rsidP="00483DCB">
      <w:pPr>
        <w:numPr>
          <w:ilvl w:val="0"/>
          <w:numId w:val="15"/>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350-20-35-33 through 35-35</w:t>
      </w:r>
    </w:p>
    <w:p w14:paraId="3E6FAE14" w14:textId="13AE9F9F" w:rsidR="00483DCB" w:rsidRPr="00F27538" w:rsidRDefault="00483DCB" w:rsidP="00F27538">
      <w:pPr>
        <w:numPr>
          <w:ilvl w:val="0"/>
          <w:numId w:val="15"/>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Related implementation guidance: ASC</w:t>
      </w:r>
      <w:r w:rsidRPr="00483DCB">
        <w:rPr>
          <w:rFonts w:ascii="Arial" w:eastAsia="Times New Roman" w:hAnsi="Arial" w:cs="Arial"/>
          <w:color w:val="0D0D0D"/>
          <w:sz w:val="24"/>
          <w:szCs w:val="24"/>
          <w:lang w:eastAsia="en-US"/>
        </w:rPr>
        <w:t xml:space="preserve"> 350-20-55-6 through 55-8</w:t>
      </w:r>
    </w:p>
    <w:p w14:paraId="5D7602F7"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Under ASC 350-20-35-33 through 35-35, an entity identifies its reporting units based on its operating segments and their components. Two or more components of an operating segment are aggregated and treated as a single reporting unit when the components have similar economic characteristics. The determination of whether components have similar economic characteristics requires judgment based on the facts and circumstances.</w:t>
      </w:r>
    </w:p>
    <w:p w14:paraId="1091DF76"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135CA56F" w14:textId="58929BDC"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When components are aggregated into </w:t>
      </w:r>
      <w:r>
        <w:rPr>
          <w:rFonts w:ascii="Arial" w:eastAsia="Times New Roman" w:hAnsi="Arial" w:cs="Arial"/>
          <w:color w:val="0D0D0D"/>
          <w:sz w:val="24"/>
          <w:szCs w:val="24"/>
          <w:lang w:eastAsia="en-US"/>
        </w:rPr>
        <w:t xml:space="preserve">a single reporting unit, goodwill is assigned to that </w:t>
      </w:r>
      <w:r w:rsidRPr="00483DCB">
        <w:rPr>
          <w:rFonts w:ascii="Arial" w:eastAsia="Times New Roman" w:hAnsi="Arial" w:cs="Arial"/>
          <w:color w:val="0D0D0D"/>
          <w:sz w:val="24"/>
          <w:szCs w:val="24"/>
          <w:lang w:eastAsia="en-US"/>
        </w:rPr>
        <w:t>unit</w:t>
      </w:r>
      <w:r>
        <w:rPr>
          <w:rFonts w:ascii="Arial" w:eastAsia="Times New Roman" w:hAnsi="Arial" w:cs="Arial"/>
          <w:color w:val="0D0D0D"/>
          <w:sz w:val="24"/>
          <w:szCs w:val="24"/>
          <w:lang w:eastAsia="en-US"/>
        </w:rPr>
        <w:t>,</w:t>
      </w:r>
      <w:r w:rsidRPr="00483DCB">
        <w:rPr>
          <w:rFonts w:ascii="Arial" w:eastAsia="Times New Roman" w:hAnsi="Arial" w:cs="Arial"/>
          <w:color w:val="0D0D0D"/>
          <w:sz w:val="24"/>
          <w:szCs w:val="24"/>
          <w:lang w:eastAsia="en-US"/>
        </w:rPr>
        <w:t xml:space="preserve"> and the goodwill impairment test is performed at the reporting-unit level. The carrying amount of the reporting unit, including goodwill, is compared with its fair value. If the carrying amount exceeds fair value, a goodwill impairment loss is recognized, limited to the amount of goodwill assigned to the reporting unit (Financial Accounting Standards Board [FASB], n.d.).</w:t>
      </w:r>
    </w:p>
    <w:p w14:paraId="748DBAD5" w14:textId="77777777"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644355C9" w14:textId="31747EB3"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 xml:space="preserve">A2. </w:t>
      </w:r>
      <w:r>
        <w:rPr>
          <w:rFonts w:ascii="Arial" w:eastAsia="Times New Roman" w:hAnsi="Arial" w:cs="Arial"/>
          <w:b/>
          <w:bCs/>
          <w:color w:val="0D0D0D"/>
          <w:sz w:val="24"/>
          <w:szCs w:val="24"/>
          <w:lang w:eastAsia="en-US"/>
        </w:rPr>
        <w:t>The company does not have similar economic characteristics</w:t>
      </w:r>
    </w:p>
    <w:p w14:paraId="063EDE48"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34E236F7" w14:textId="38C3B62F" w:rsidR="00483DCB" w:rsidRPr="00204268" w:rsidRDefault="00483DCB" w:rsidP="00483DCB">
      <w:pPr>
        <w:numPr>
          <w:ilvl w:val="0"/>
          <w:numId w:val="16"/>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 - Goodwill and Other</w:t>
      </w:r>
    </w:p>
    <w:p w14:paraId="65636E28" w14:textId="77777777" w:rsidR="00483DCB" w:rsidRPr="00204268" w:rsidRDefault="00483DCB" w:rsidP="00483DCB">
      <w:pPr>
        <w:numPr>
          <w:ilvl w:val="0"/>
          <w:numId w:val="16"/>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3285D8DD" w14:textId="77777777" w:rsidR="00483DCB" w:rsidRPr="00204268" w:rsidRDefault="00483DCB" w:rsidP="00483DCB">
      <w:pPr>
        <w:numPr>
          <w:ilvl w:val="0"/>
          <w:numId w:val="16"/>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53DD5214" w14:textId="77777777" w:rsidR="00483DCB" w:rsidRPr="00204268" w:rsidRDefault="00483DCB" w:rsidP="00483DCB">
      <w:pPr>
        <w:numPr>
          <w:ilvl w:val="0"/>
          <w:numId w:val="16"/>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350-20-35-33 through 35-38</w:t>
      </w:r>
    </w:p>
    <w:p w14:paraId="1F3F0AEA" w14:textId="71A3DB19" w:rsidR="00483DCB" w:rsidRPr="00204268" w:rsidRDefault="00483DCB" w:rsidP="00F27538">
      <w:pPr>
        <w:numPr>
          <w:ilvl w:val="0"/>
          <w:numId w:val="16"/>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Related implementation guidance: ASC 350-20-55-1 through 55-8</w:t>
      </w:r>
    </w:p>
    <w:p w14:paraId="38EFCAEB" w14:textId="64344E92"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When components of an operating segment do not have similar economic characteristics, they are not aggregated into one reporting unit. Instead, a component that meets the reporting-unit criteria is evaluated separately. ASC 350-20-35-34 states that a component is a reporting unit when it is a business or nonprofit activity for which discrete financial information is available</w:t>
      </w:r>
      <w:r w:rsidR="00F27538">
        <w:rPr>
          <w:rFonts w:ascii="Arial" w:eastAsia="Times New Roman" w:hAnsi="Arial" w:cs="Arial"/>
          <w:color w:val="0D0D0D"/>
          <w:sz w:val="24"/>
          <w:szCs w:val="24"/>
          <w:lang w:eastAsia="en-US"/>
        </w:rPr>
        <w:t>. Segment</w:t>
      </w:r>
      <w:r w:rsidRPr="00483DCB">
        <w:rPr>
          <w:rFonts w:ascii="Arial" w:eastAsia="Times New Roman" w:hAnsi="Arial" w:cs="Arial"/>
          <w:color w:val="0D0D0D"/>
          <w:sz w:val="24"/>
          <w:szCs w:val="24"/>
          <w:lang w:eastAsia="en-US"/>
        </w:rPr>
        <w:t xml:space="preserve"> management regularly reviews its operating results.</w:t>
      </w:r>
    </w:p>
    <w:p w14:paraId="0C39B9E3"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62485DDB" w14:textId="74E1EEB1"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Goodwill is assigned to the reporting unit expected to benefit from the related business combination. Each reporting unit is then evaluated separately for goodwill impairment. The carrying amount of each reporting unit, including goodwill, is compared with its </w:t>
      </w:r>
      <w:r w:rsidR="00204268">
        <w:rPr>
          <w:rFonts w:ascii="Arial" w:eastAsia="Times New Roman" w:hAnsi="Arial" w:cs="Arial"/>
          <w:color w:val="0D0D0D"/>
          <w:sz w:val="24"/>
          <w:szCs w:val="24"/>
          <w:lang w:eastAsia="en-US"/>
        </w:rPr>
        <w:t>FMV</w:t>
      </w:r>
      <w:r w:rsidRPr="00483DCB">
        <w:rPr>
          <w:rFonts w:ascii="Arial" w:eastAsia="Times New Roman" w:hAnsi="Arial" w:cs="Arial"/>
          <w:color w:val="0D0D0D"/>
          <w:sz w:val="24"/>
          <w:szCs w:val="24"/>
          <w:lang w:eastAsia="en-US"/>
        </w:rPr>
        <w:t>. If the carrying amount exceeds fair</w:t>
      </w:r>
      <w:r w:rsidR="00204268">
        <w:rPr>
          <w:rFonts w:ascii="Arial" w:eastAsia="Times New Roman" w:hAnsi="Arial" w:cs="Arial"/>
          <w:color w:val="0D0D0D"/>
          <w:sz w:val="24"/>
          <w:szCs w:val="24"/>
          <w:lang w:eastAsia="en-US"/>
        </w:rPr>
        <w:t xml:space="preserve"> market</w:t>
      </w:r>
      <w:r w:rsidRPr="00483DCB">
        <w:rPr>
          <w:rFonts w:ascii="Arial" w:eastAsia="Times New Roman" w:hAnsi="Arial" w:cs="Arial"/>
          <w:color w:val="0D0D0D"/>
          <w:sz w:val="24"/>
          <w:szCs w:val="24"/>
          <w:lang w:eastAsia="en-US"/>
        </w:rPr>
        <w:t xml:space="preserve"> value, a goodwill impairment loss is recognized for that reporting unit, limited to the goodwill assigned to it (FASB, n.d.).</w:t>
      </w:r>
    </w:p>
    <w:p w14:paraId="59071E18"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69B8E3A5"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700496FF"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18E31E36" w14:textId="77777777" w:rsidR="00F27538"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56E9F070" w14:textId="77777777"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p>
    <w:p w14:paraId="0D457526"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A3. Public Company</w:t>
      </w:r>
    </w:p>
    <w:p w14:paraId="3CABFD6F"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2D2661DE" w14:textId="041E5569" w:rsidR="00483DCB" w:rsidRPr="00204268" w:rsidRDefault="00483DCB" w:rsidP="00483DCB">
      <w:pPr>
        <w:numPr>
          <w:ilvl w:val="0"/>
          <w:numId w:val="17"/>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w:t>
      </w:r>
      <w:r w:rsidR="00204268">
        <w:rPr>
          <w:rFonts w:ascii="Arial" w:eastAsia="Times New Roman" w:hAnsi="Arial" w:cs="Arial"/>
          <w:i/>
          <w:iCs/>
          <w:color w:val="0D0D0D"/>
          <w:sz w:val="24"/>
          <w:szCs w:val="24"/>
          <w:lang w:eastAsia="en-US"/>
        </w:rPr>
        <w:t xml:space="preserve"> - </w:t>
      </w:r>
      <w:r w:rsidRPr="00204268">
        <w:rPr>
          <w:rFonts w:ascii="Arial" w:eastAsia="Times New Roman" w:hAnsi="Arial" w:cs="Arial"/>
          <w:i/>
          <w:iCs/>
          <w:color w:val="0D0D0D"/>
          <w:sz w:val="24"/>
          <w:szCs w:val="24"/>
          <w:lang w:eastAsia="en-US"/>
        </w:rPr>
        <w:t>Goodwill and Other</w:t>
      </w:r>
    </w:p>
    <w:p w14:paraId="3485539F" w14:textId="77777777" w:rsidR="00483DCB" w:rsidRPr="00204268" w:rsidRDefault="00483DCB" w:rsidP="00483DCB">
      <w:pPr>
        <w:numPr>
          <w:ilvl w:val="0"/>
          <w:numId w:val="17"/>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79E5C9A8" w14:textId="77777777" w:rsidR="00483DCB" w:rsidRPr="00204268" w:rsidRDefault="00483DCB" w:rsidP="00483DCB">
      <w:pPr>
        <w:numPr>
          <w:ilvl w:val="0"/>
          <w:numId w:val="17"/>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7F763C7F" w14:textId="77777777" w:rsidR="00483DCB" w:rsidRPr="00204268" w:rsidRDefault="00483DCB" w:rsidP="00483DCB">
      <w:pPr>
        <w:numPr>
          <w:ilvl w:val="0"/>
          <w:numId w:val="17"/>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350-20-35-28 through 35-30</w:t>
      </w:r>
    </w:p>
    <w:p w14:paraId="572AF514" w14:textId="5B1321D1" w:rsidR="00483DCB" w:rsidRPr="00204268" w:rsidRDefault="00483DCB" w:rsidP="00F27538">
      <w:pPr>
        <w:numPr>
          <w:ilvl w:val="0"/>
          <w:numId w:val="17"/>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Related paragraphs: ASC 350-20-35-1 through 35-2 and 35-22 through 35-27</w:t>
      </w:r>
    </w:p>
    <w:p w14:paraId="2608E280" w14:textId="15D69309"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For an entity that has not elected the private-company accounting alternative, goodwill is not amortized. Instead, goodwill assigned to each reporting unit is tested for impairment at least annually. The annual impairment test may be performed at any time during the fiscal year</w:t>
      </w:r>
      <w:r w:rsidR="00F27538">
        <w:rPr>
          <w:rFonts w:ascii="Arial" w:eastAsia="Times New Roman" w:hAnsi="Arial" w:cs="Arial"/>
          <w:color w:val="0D0D0D"/>
          <w:sz w:val="24"/>
          <w:szCs w:val="24"/>
          <w:lang w:eastAsia="en-US"/>
        </w:rPr>
        <w:t>, provided the entity performs it</w:t>
      </w:r>
      <w:r w:rsidRPr="00483DCB">
        <w:rPr>
          <w:rFonts w:ascii="Arial" w:eastAsia="Times New Roman" w:hAnsi="Arial" w:cs="Arial"/>
          <w:color w:val="0D0D0D"/>
          <w:sz w:val="24"/>
          <w:szCs w:val="24"/>
          <w:lang w:eastAsia="en-US"/>
        </w:rPr>
        <w:t xml:space="preserve"> at the same time each year.</w:t>
      </w:r>
    </w:p>
    <w:p w14:paraId="28406AF7"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3DE600FF" w14:textId="551B478E"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The entity may first perform a qualitative assessment to determine whether it is more likely than not that the fair </w:t>
      </w:r>
      <w:r w:rsidR="00204268">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 xml:space="preserve">value of the reporting unit is less than </w:t>
      </w:r>
      <w:proofErr w:type="gramStart"/>
      <w:r w:rsidRPr="00483DCB">
        <w:rPr>
          <w:rFonts w:ascii="Arial" w:eastAsia="Times New Roman" w:hAnsi="Arial" w:cs="Arial"/>
          <w:color w:val="0D0D0D"/>
          <w:sz w:val="24"/>
          <w:szCs w:val="24"/>
          <w:lang w:eastAsia="en-US"/>
        </w:rPr>
        <w:t>its</w:t>
      </w:r>
      <w:proofErr w:type="gramEnd"/>
      <w:r w:rsidRPr="00483DCB">
        <w:rPr>
          <w:rFonts w:ascii="Arial" w:eastAsia="Times New Roman" w:hAnsi="Arial" w:cs="Arial"/>
          <w:color w:val="0D0D0D"/>
          <w:sz w:val="24"/>
          <w:szCs w:val="24"/>
          <w:lang w:eastAsia="en-US"/>
        </w:rPr>
        <w:t xml:space="preserve"> carrying amount. The entity may also bypass the qualitative assessment and proceed directly to the quantitative test.</w:t>
      </w:r>
    </w:p>
    <w:p w14:paraId="3BC10ED4" w14:textId="436F65BA"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For the quantitative test, the entity compares the reporting unit's carrying amount, including goodwill, with its </w:t>
      </w:r>
      <w:r w:rsidR="00204268">
        <w:rPr>
          <w:rFonts w:ascii="Arial" w:eastAsia="Times New Roman" w:hAnsi="Arial" w:cs="Arial"/>
          <w:color w:val="0D0D0D"/>
          <w:sz w:val="24"/>
          <w:szCs w:val="24"/>
          <w:lang w:eastAsia="en-US"/>
        </w:rPr>
        <w:t>FMV</w:t>
      </w:r>
      <w:r w:rsidRPr="00483DCB">
        <w:rPr>
          <w:rFonts w:ascii="Arial" w:eastAsia="Times New Roman" w:hAnsi="Arial" w:cs="Arial"/>
          <w:color w:val="0D0D0D"/>
          <w:sz w:val="24"/>
          <w:szCs w:val="24"/>
          <w:lang w:eastAsia="en-US"/>
        </w:rPr>
        <w:t xml:space="preserve">. If the carrying amount exceeds fair </w:t>
      </w:r>
      <w:r w:rsidR="00204268">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value, the difference is recognized as a goodwill impairment loss, limited to the amount of goodwill assigned to the reporting unit (FASB, n.d.).</w:t>
      </w:r>
    </w:p>
    <w:p w14:paraId="48D45A8E" w14:textId="77777777" w:rsidR="00F27538" w:rsidRPr="00483DCB"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7862ACD6"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A4. Private Company</w:t>
      </w:r>
    </w:p>
    <w:p w14:paraId="7C8D7511"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59D0F999" w14:textId="4046D472" w:rsidR="00483DCB" w:rsidRPr="00204268" w:rsidRDefault="00483DCB" w:rsidP="00483DCB">
      <w:pPr>
        <w:numPr>
          <w:ilvl w:val="0"/>
          <w:numId w:val="18"/>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w:t>
      </w:r>
      <w:r w:rsidR="00204268">
        <w:rPr>
          <w:rFonts w:ascii="Arial" w:eastAsia="Times New Roman" w:hAnsi="Arial" w:cs="Arial"/>
          <w:i/>
          <w:iCs/>
          <w:color w:val="0D0D0D"/>
          <w:sz w:val="24"/>
          <w:szCs w:val="24"/>
          <w:lang w:eastAsia="en-US"/>
        </w:rPr>
        <w:t xml:space="preserve"> - </w:t>
      </w:r>
      <w:r w:rsidRPr="00204268">
        <w:rPr>
          <w:rFonts w:ascii="Arial" w:eastAsia="Times New Roman" w:hAnsi="Arial" w:cs="Arial"/>
          <w:i/>
          <w:iCs/>
          <w:color w:val="0D0D0D"/>
          <w:sz w:val="24"/>
          <w:szCs w:val="24"/>
          <w:lang w:eastAsia="en-US"/>
        </w:rPr>
        <w:t>Goodwill and Other</w:t>
      </w:r>
    </w:p>
    <w:p w14:paraId="41043621" w14:textId="77777777" w:rsidR="00483DCB" w:rsidRPr="00204268" w:rsidRDefault="00483DCB" w:rsidP="00483DCB">
      <w:pPr>
        <w:numPr>
          <w:ilvl w:val="0"/>
          <w:numId w:val="18"/>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599D57C5" w14:textId="77777777" w:rsidR="00483DCB" w:rsidRPr="00204268" w:rsidRDefault="00483DCB" w:rsidP="00483DCB">
      <w:pPr>
        <w:numPr>
          <w:ilvl w:val="0"/>
          <w:numId w:val="18"/>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043CFADC" w14:textId="77777777" w:rsidR="00483DCB" w:rsidRPr="00204268" w:rsidRDefault="00483DCB" w:rsidP="00483DCB">
      <w:pPr>
        <w:numPr>
          <w:ilvl w:val="0"/>
          <w:numId w:val="18"/>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350-20-35-62 through 35-82</w:t>
      </w:r>
    </w:p>
    <w:p w14:paraId="1FD26BE0" w14:textId="77777777" w:rsidR="00483DCB" w:rsidRDefault="00483DCB" w:rsidP="00FC68A1">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A private company may elect the accounting alternative for subsequent measurement of goodwill. If the private company elects the accounting alternative, it follows the goodwill amortization and impairment provisions applicable to that alternative.</w:t>
      </w:r>
    </w:p>
    <w:p w14:paraId="533ED1EE"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668140D9"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If a private company does not elect the accounting alternative, it follows the general goodwill impairment model in ASC 350-20. Under that model, goodwill is not amortized and is tested for impairment at least annually and between annual tests when a triggering event occurs.</w:t>
      </w:r>
    </w:p>
    <w:p w14:paraId="5C8D5605"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07A1A1D2" w14:textId="3FCC6F88"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Therefore, the accounting treatment for a private company depends on whether </w:t>
      </w:r>
      <w:r w:rsidR="00F27538">
        <w:rPr>
          <w:rFonts w:ascii="Arial" w:eastAsia="Times New Roman" w:hAnsi="Arial" w:cs="Arial"/>
          <w:color w:val="0D0D0D"/>
          <w:sz w:val="24"/>
          <w:szCs w:val="24"/>
          <w:lang w:eastAsia="en-US"/>
        </w:rPr>
        <w:t>it elects the private company</w:t>
      </w:r>
      <w:r w:rsidRPr="00483DCB">
        <w:rPr>
          <w:rFonts w:ascii="Arial" w:eastAsia="Times New Roman" w:hAnsi="Arial" w:cs="Arial"/>
          <w:color w:val="0D0D0D"/>
          <w:sz w:val="24"/>
          <w:szCs w:val="24"/>
          <w:lang w:eastAsia="en-US"/>
        </w:rPr>
        <w:t xml:space="preserve"> accounting alternative (FASB, n.d.).</w:t>
      </w:r>
    </w:p>
    <w:p w14:paraId="24CC14CB" w14:textId="77777777" w:rsidR="00F27538" w:rsidRPr="00483DCB"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5EC9B8B9"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A5. Company Elects the Accounting Alternative</w:t>
      </w:r>
    </w:p>
    <w:p w14:paraId="7BC07D53"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2294DD7A" w14:textId="776BAFA1" w:rsidR="00483DCB" w:rsidRPr="00204268" w:rsidRDefault="00483DCB" w:rsidP="00483DCB">
      <w:pPr>
        <w:numPr>
          <w:ilvl w:val="0"/>
          <w:numId w:val="19"/>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w:t>
      </w:r>
      <w:r w:rsidR="00780633">
        <w:rPr>
          <w:rFonts w:ascii="Arial" w:eastAsia="Times New Roman" w:hAnsi="Arial" w:cs="Arial"/>
          <w:i/>
          <w:iCs/>
          <w:color w:val="0D0D0D"/>
          <w:sz w:val="24"/>
          <w:szCs w:val="24"/>
          <w:lang w:eastAsia="en-US"/>
        </w:rPr>
        <w:t xml:space="preserve"> - </w:t>
      </w:r>
      <w:r w:rsidRPr="00204268">
        <w:rPr>
          <w:rFonts w:ascii="Arial" w:eastAsia="Times New Roman" w:hAnsi="Arial" w:cs="Arial"/>
          <w:i/>
          <w:iCs/>
          <w:color w:val="0D0D0D"/>
          <w:sz w:val="24"/>
          <w:szCs w:val="24"/>
          <w:lang w:eastAsia="en-US"/>
        </w:rPr>
        <w:t>Goodwill and Other</w:t>
      </w:r>
    </w:p>
    <w:p w14:paraId="440162C4" w14:textId="77777777" w:rsidR="00483DCB" w:rsidRPr="00204268" w:rsidRDefault="00483DCB" w:rsidP="00483DCB">
      <w:pPr>
        <w:numPr>
          <w:ilvl w:val="0"/>
          <w:numId w:val="19"/>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0436E40E" w14:textId="77777777" w:rsidR="00483DCB" w:rsidRPr="00204268" w:rsidRDefault="00483DCB" w:rsidP="00483DCB">
      <w:pPr>
        <w:numPr>
          <w:ilvl w:val="0"/>
          <w:numId w:val="19"/>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48D7A150" w14:textId="77777777" w:rsidR="00483DCB" w:rsidRPr="00204268" w:rsidRDefault="00483DCB" w:rsidP="00483DCB">
      <w:pPr>
        <w:numPr>
          <w:ilvl w:val="0"/>
          <w:numId w:val="19"/>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350-20-35-62 through 35-82</w:t>
      </w:r>
    </w:p>
    <w:p w14:paraId="135444B2" w14:textId="77777777" w:rsidR="00483DCB" w:rsidRPr="00204268" w:rsidRDefault="00483DCB" w:rsidP="00483DCB">
      <w:pPr>
        <w:numPr>
          <w:ilvl w:val="0"/>
          <w:numId w:val="19"/>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Specifically: ASC 350-20-35-63 and 35-66 through 35-72</w:t>
      </w:r>
    </w:p>
    <w:p w14:paraId="6F7F0070"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When an eligible private company elects the accounting alternative, goodwill is amortized on a straight-line basis over 10 years, or over a shorter period if the company demonstrates that another useful life is more appropriate.</w:t>
      </w:r>
    </w:p>
    <w:p w14:paraId="26162D74"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7640BDF3" w14:textId="01CE7AAB"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The company is not required to perform the annual goodwill impairment test required under the general model. Instead, goodwill is evaluated for impairment when a triggering event occurs. When a triggering event occurs, the company may first perform a qualitative assessment. If the company determines that it is not more likely than not that the fair </w:t>
      </w:r>
      <w:r w:rsidR="00780633">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value of the entity or reporting unit is less than its carrying amount, further impairment testing is unnecessary.</w:t>
      </w:r>
    </w:p>
    <w:p w14:paraId="2095C4B7"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2CC3F775" w14:textId="7B3CB948"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If the qualitative assessment indicates that impairment may exist, the company performs the quantitative impairment test by comparing </w:t>
      </w:r>
      <w:r w:rsidR="00780633">
        <w:rPr>
          <w:rFonts w:ascii="Arial" w:eastAsia="Times New Roman" w:hAnsi="Arial" w:cs="Arial"/>
          <w:color w:val="0D0D0D"/>
          <w:sz w:val="24"/>
          <w:szCs w:val="24"/>
          <w:lang w:eastAsia="en-US"/>
        </w:rPr>
        <w:t>FMV</w:t>
      </w:r>
      <w:r w:rsidRPr="00483DCB">
        <w:rPr>
          <w:rFonts w:ascii="Arial" w:eastAsia="Times New Roman" w:hAnsi="Arial" w:cs="Arial"/>
          <w:color w:val="0D0D0D"/>
          <w:sz w:val="24"/>
          <w:szCs w:val="24"/>
          <w:lang w:eastAsia="en-US"/>
        </w:rPr>
        <w:t xml:space="preserve"> with carrying amount, including goodwill. If </w:t>
      </w:r>
      <w:r w:rsidR="00F27538">
        <w:rPr>
          <w:rFonts w:ascii="Arial" w:eastAsia="Times New Roman" w:hAnsi="Arial" w:cs="Arial"/>
          <w:color w:val="0D0D0D"/>
          <w:sz w:val="24"/>
          <w:szCs w:val="24"/>
          <w:lang w:eastAsia="en-US"/>
        </w:rPr>
        <w:t xml:space="preserve">the </w:t>
      </w:r>
      <w:r w:rsidRPr="00483DCB">
        <w:rPr>
          <w:rFonts w:ascii="Arial" w:eastAsia="Times New Roman" w:hAnsi="Arial" w:cs="Arial"/>
          <w:color w:val="0D0D0D"/>
          <w:sz w:val="24"/>
          <w:szCs w:val="24"/>
          <w:lang w:eastAsia="en-US"/>
        </w:rPr>
        <w:t xml:space="preserve">carrying amount exceeds fair </w:t>
      </w:r>
      <w:r w:rsidR="00780633">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value, the difference is recognized as a goodwill impairment loss (FASB, n.d.).</w:t>
      </w:r>
    </w:p>
    <w:p w14:paraId="60193CAC" w14:textId="77777777" w:rsidR="00F27538" w:rsidRPr="00483DCB"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74F917CC"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A6. Company Does Not Elect the Accounting Alternative</w:t>
      </w:r>
    </w:p>
    <w:p w14:paraId="1312D437"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5463F30F" w14:textId="77777777" w:rsidR="00483DCB" w:rsidRPr="00483DCB" w:rsidRDefault="00483DCB" w:rsidP="00483DCB">
      <w:pPr>
        <w:numPr>
          <w:ilvl w:val="0"/>
          <w:numId w:val="20"/>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483DCB">
        <w:rPr>
          <w:rFonts w:ascii="Arial" w:eastAsia="Times New Roman" w:hAnsi="Arial" w:cs="Arial"/>
          <w:b/>
          <w:bCs/>
          <w:color w:val="0D0D0D"/>
          <w:sz w:val="24"/>
          <w:szCs w:val="24"/>
          <w:lang w:eastAsia="en-US"/>
        </w:rPr>
        <w:t>Topic:</w:t>
      </w:r>
      <w:r w:rsidRPr="00483DCB">
        <w:rPr>
          <w:rFonts w:ascii="Arial" w:eastAsia="Times New Roman" w:hAnsi="Arial" w:cs="Arial"/>
          <w:color w:val="0D0D0D"/>
          <w:sz w:val="24"/>
          <w:szCs w:val="24"/>
          <w:lang w:eastAsia="en-US"/>
        </w:rPr>
        <w:t> ASC 350, </w:t>
      </w:r>
      <w:r w:rsidRPr="00483DCB">
        <w:rPr>
          <w:rFonts w:ascii="Arial" w:eastAsia="Times New Roman" w:hAnsi="Arial" w:cs="Arial"/>
          <w:i/>
          <w:iCs/>
          <w:color w:val="0D0D0D"/>
          <w:sz w:val="24"/>
          <w:szCs w:val="24"/>
          <w:lang w:eastAsia="en-US"/>
        </w:rPr>
        <w:t>Intangibles—Goodwill and Other</w:t>
      </w:r>
    </w:p>
    <w:p w14:paraId="19705F51" w14:textId="77777777" w:rsidR="00483DCB" w:rsidRPr="00483DCB" w:rsidRDefault="00483DCB" w:rsidP="00483DCB">
      <w:pPr>
        <w:numPr>
          <w:ilvl w:val="0"/>
          <w:numId w:val="20"/>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483DCB">
        <w:rPr>
          <w:rFonts w:ascii="Arial" w:eastAsia="Times New Roman" w:hAnsi="Arial" w:cs="Arial"/>
          <w:b/>
          <w:bCs/>
          <w:color w:val="0D0D0D"/>
          <w:sz w:val="24"/>
          <w:szCs w:val="24"/>
          <w:lang w:eastAsia="en-US"/>
        </w:rPr>
        <w:t>Subtopic:</w:t>
      </w:r>
      <w:r w:rsidRPr="00483DCB">
        <w:rPr>
          <w:rFonts w:ascii="Arial" w:eastAsia="Times New Roman" w:hAnsi="Arial" w:cs="Arial"/>
          <w:color w:val="0D0D0D"/>
          <w:sz w:val="24"/>
          <w:szCs w:val="24"/>
          <w:lang w:eastAsia="en-US"/>
        </w:rPr>
        <w:t> ASC 350-20, </w:t>
      </w:r>
      <w:r w:rsidRPr="00483DCB">
        <w:rPr>
          <w:rFonts w:ascii="Arial" w:eastAsia="Times New Roman" w:hAnsi="Arial" w:cs="Arial"/>
          <w:i/>
          <w:iCs/>
          <w:color w:val="0D0D0D"/>
          <w:sz w:val="24"/>
          <w:szCs w:val="24"/>
          <w:lang w:eastAsia="en-US"/>
        </w:rPr>
        <w:t>Goodwill</w:t>
      </w:r>
    </w:p>
    <w:p w14:paraId="07056A3D" w14:textId="77777777" w:rsidR="00483DCB" w:rsidRPr="00483DCB" w:rsidRDefault="00483DCB" w:rsidP="00483DCB">
      <w:pPr>
        <w:numPr>
          <w:ilvl w:val="0"/>
          <w:numId w:val="20"/>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483DCB">
        <w:rPr>
          <w:rFonts w:ascii="Arial" w:eastAsia="Times New Roman" w:hAnsi="Arial" w:cs="Arial"/>
          <w:b/>
          <w:bCs/>
          <w:color w:val="0D0D0D"/>
          <w:sz w:val="24"/>
          <w:szCs w:val="24"/>
          <w:lang w:eastAsia="en-US"/>
        </w:rPr>
        <w:t>Section:</w:t>
      </w:r>
      <w:r w:rsidRPr="00483DCB">
        <w:rPr>
          <w:rFonts w:ascii="Arial" w:eastAsia="Times New Roman" w:hAnsi="Arial" w:cs="Arial"/>
          <w:color w:val="0D0D0D"/>
          <w:sz w:val="24"/>
          <w:szCs w:val="24"/>
          <w:lang w:eastAsia="en-US"/>
        </w:rPr>
        <w:t> Subsequent Measurement</w:t>
      </w:r>
    </w:p>
    <w:p w14:paraId="75C96865" w14:textId="77777777" w:rsidR="00483DCB" w:rsidRPr="00483DCB" w:rsidRDefault="00483DCB" w:rsidP="00483DCB">
      <w:pPr>
        <w:numPr>
          <w:ilvl w:val="0"/>
          <w:numId w:val="20"/>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483DCB">
        <w:rPr>
          <w:rFonts w:ascii="Arial" w:eastAsia="Times New Roman" w:hAnsi="Arial" w:cs="Arial"/>
          <w:b/>
          <w:bCs/>
          <w:color w:val="0D0D0D"/>
          <w:sz w:val="24"/>
          <w:szCs w:val="24"/>
          <w:lang w:eastAsia="en-US"/>
        </w:rPr>
        <w:t>Paragraphs:</w:t>
      </w:r>
      <w:r w:rsidRPr="00483DCB">
        <w:rPr>
          <w:rFonts w:ascii="Arial" w:eastAsia="Times New Roman" w:hAnsi="Arial" w:cs="Arial"/>
          <w:color w:val="0D0D0D"/>
          <w:sz w:val="24"/>
          <w:szCs w:val="24"/>
          <w:lang w:eastAsia="en-US"/>
        </w:rPr>
        <w:t> ASC 350-20-35-28 through 35-30</w:t>
      </w:r>
    </w:p>
    <w:p w14:paraId="4AB6DA69" w14:textId="77777777" w:rsidR="00483DCB" w:rsidRPr="00483DCB" w:rsidRDefault="00483DCB" w:rsidP="00483DCB">
      <w:pPr>
        <w:numPr>
          <w:ilvl w:val="0"/>
          <w:numId w:val="20"/>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483DCB">
        <w:rPr>
          <w:rFonts w:ascii="Arial" w:eastAsia="Times New Roman" w:hAnsi="Arial" w:cs="Arial"/>
          <w:b/>
          <w:bCs/>
          <w:color w:val="0D0D0D"/>
          <w:sz w:val="24"/>
          <w:szCs w:val="24"/>
          <w:lang w:eastAsia="en-US"/>
        </w:rPr>
        <w:t>Related paragraphs:</w:t>
      </w:r>
      <w:r w:rsidRPr="00483DCB">
        <w:rPr>
          <w:rFonts w:ascii="Arial" w:eastAsia="Times New Roman" w:hAnsi="Arial" w:cs="Arial"/>
          <w:color w:val="0D0D0D"/>
          <w:sz w:val="24"/>
          <w:szCs w:val="24"/>
          <w:lang w:eastAsia="en-US"/>
        </w:rPr>
        <w:t> ASC 350-20-35-1 through 35-2 and 35-22 through 35-27</w:t>
      </w:r>
    </w:p>
    <w:p w14:paraId="0038EB9B"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When an eligible private company does not elect the accounting alternative, the company applies the general goodwill impairment model. Goodwill is not amortized and must be tested for impairment at least annually.</w:t>
      </w:r>
    </w:p>
    <w:p w14:paraId="487316CF"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22B3375B" w14:textId="0C8498D2"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The company may perform a qualitative assessment before performing the quantitative impairment test. If the qualitative assessment indicates that it is not more likely than not that the reporting unit's fair </w:t>
      </w:r>
      <w:r w:rsidR="00780633">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 xml:space="preserve">value is below its carrying amount, the company </w:t>
      </w:r>
      <w:r w:rsidR="00F27538">
        <w:rPr>
          <w:rFonts w:ascii="Arial" w:eastAsia="Times New Roman" w:hAnsi="Arial" w:cs="Arial"/>
          <w:color w:val="0D0D0D"/>
          <w:sz w:val="24"/>
          <w:szCs w:val="24"/>
          <w:lang w:eastAsia="en-US"/>
        </w:rPr>
        <w:t>need not</w:t>
      </w:r>
      <w:r w:rsidRPr="00483DCB">
        <w:rPr>
          <w:rFonts w:ascii="Arial" w:eastAsia="Times New Roman" w:hAnsi="Arial" w:cs="Arial"/>
          <w:color w:val="0D0D0D"/>
          <w:sz w:val="24"/>
          <w:szCs w:val="24"/>
          <w:lang w:eastAsia="en-US"/>
        </w:rPr>
        <w:t xml:space="preserve"> perform the quantitative test. If the quantitative test is required, the company compares the reporting unit's carrying amount, including goodwill, with its fair</w:t>
      </w:r>
      <w:r w:rsidR="00780633">
        <w:rPr>
          <w:rFonts w:ascii="Arial" w:eastAsia="Times New Roman" w:hAnsi="Arial" w:cs="Arial"/>
          <w:color w:val="0D0D0D"/>
          <w:sz w:val="24"/>
          <w:szCs w:val="24"/>
          <w:lang w:eastAsia="en-US"/>
        </w:rPr>
        <w:t xml:space="preserve"> market</w:t>
      </w:r>
      <w:r w:rsidRPr="00483DCB">
        <w:rPr>
          <w:rFonts w:ascii="Arial" w:eastAsia="Times New Roman" w:hAnsi="Arial" w:cs="Arial"/>
          <w:color w:val="0D0D0D"/>
          <w:sz w:val="24"/>
          <w:szCs w:val="24"/>
          <w:lang w:eastAsia="en-US"/>
        </w:rPr>
        <w:t xml:space="preserve"> value.</w:t>
      </w:r>
    </w:p>
    <w:p w14:paraId="3FD82422"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505F71AE" w14:textId="7266F60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In addition to the annual test, goodwill must be tested between annual testing dates when an event </w:t>
      </w:r>
      <w:r w:rsidR="00F27538" w:rsidRPr="00483DCB">
        <w:rPr>
          <w:rFonts w:ascii="Arial" w:eastAsia="Times New Roman" w:hAnsi="Arial" w:cs="Arial"/>
          <w:color w:val="0D0D0D"/>
          <w:sz w:val="24"/>
          <w:szCs w:val="24"/>
          <w:lang w:eastAsia="en-US"/>
        </w:rPr>
        <w:t>occurs</w:t>
      </w:r>
      <w:r w:rsidR="00780633">
        <w:rPr>
          <w:rFonts w:ascii="Arial" w:eastAsia="Times New Roman" w:hAnsi="Arial" w:cs="Arial"/>
          <w:color w:val="0D0D0D"/>
          <w:sz w:val="24"/>
          <w:szCs w:val="24"/>
          <w:lang w:eastAsia="en-US"/>
        </w:rPr>
        <w:t>,</w:t>
      </w:r>
      <w:r w:rsidRPr="00483DCB">
        <w:rPr>
          <w:rFonts w:ascii="Arial" w:eastAsia="Times New Roman" w:hAnsi="Arial" w:cs="Arial"/>
          <w:color w:val="0D0D0D"/>
          <w:sz w:val="24"/>
          <w:szCs w:val="24"/>
          <w:lang w:eastAsia="en-US"/>
        </w:rPr>
        <w:t xml:space="preserve"> or circumstances change that would more likely than not reduce the fair </w:t>
      </w:r>
      <w:r w:rsidR="00780633">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value of a reporting unit below its carrying amount (FASB, n.d.).</w:t>
      </w:r>
    </w:p>
    <w:p w14:paraId="1025397D" w14:textId="77777777" w:rsidR="00F27538" w:rsidRPr="00483DCB"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7898FD58"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A7. Triggering Event Occurs</w:t>
      </w:r>
    </w:p>
    <w:p w14:paraId="203C10B5"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3B59AD6C" w14:textId="2E87D466" w:rsidR="00483DCB" w:rsidRPr="00204268" w:rsidRDefault="00483DCB" w:rsidP="00483DCB">
      <w:pPr>
        <w:numPr>
          <w:ilvl w:val="0"/>
          <w:numId w:val="21"/>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w:t>
      </w:r>
      <w:r w:rsidR="00780633">
        <w:rPr>
          <w:rFonts w:ascii="Arial" w:eastAsia="Times New Roman" w:hAnsi="Arial" w:cs="Arial"/>
          <w:i/>
          <w:iCs/>
          <w:color w:val="0D0D0D"/>
          <w:sz w:val="24"/>
          <w:szCs w:val="24"/>
          <w:lang w:eastAsia="en-US"/>
        </w:rPr>
        <w:t xml:space="preserve"> - </w:t>
      </w:r>
      <w:r w:rsidRPr="00204268">
        <w:rPr>
          <w:rFonts w:ascii="Arial" w:eastAsia="Times New Roman" w:hAnsi="Arial" w:cs="Arial"/>
          <w:i/>
          <w:iCs/>
          <w:color w:val="0D0D0D"/>
          <w:sz w:val="24"/>
          <w:szCs w:val="24"/>
          <w:lang w:eastAsia="en-US"/>
        </w:rPr>
        <w:t>Goodwill and Other</w:t>
      </w:r>
    </w:p>
    <w:p w14:paraId="7A5ECE84" w14:textId="77777777" w:rsidR="00483DCB" w:rsidRPr="00204268" w:rsidRDefault="00483DCB" w:rsidP="00483DCB">
      <w:pPr>
        <w:numPr>
          <w:ilvl w:val="0"/>
          <w:numId w:val="21"/>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22258655" w14:textId="77777777" w:rsidR="00483DCB" w:rsidRPr="00204268" w:rsidRDefault="00483DCB" w:rsidP="00483DCB">
      <w:pPr>
        <w:numPr>
          <w:ilvl w:val="0"/>
          <w:numId w:val="21"/>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149F1F68" w14:textId="77777777" w:rsidR="00483DCB" w:rsidRPr="00204268" w:rsidRDefault="00483DCB" w:rsidP="00483DCB">
      <w:pPr>
        <w:numPr>
          <w:ilvl w:val="0"/>
          <w:numId w:val="21"/>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350-20-35-30 and 35-3C through 35-3G</w:t>
      </w:r>
    </w:p>
    <w:p w14:paraId="74EB5BCA" w14:textId="145B8405"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A triggering event occurs when an event or change in circumstances would more likely than not reduce the fair </w:t>
      </w:r>
      <w:r w:rsidR="00780633">
        <w:rPr>
          <w:rFonts w:ascii="Arial" w:eastAsia="Times New Roman" w:hAnsi="Arial" w:cs="Arial"/>
          <w:color w:val="0D0D0D"/>
          <w:sz w:val="24"/>
          <w:szCs w:val="24"/>
          <w:lang w:eastAsia="en-US"/>
        </w:rPr>
        <w:t xml:space="preserve">market </w:t>
      </w:r>
      <w:r w:rsidRPr="00483DCB">
        <w:rPr>
          <w:rFonts w:ascii="Arial" w:eastAsia="Times New Roman" w:hAnsi="Arial" w:cs="Arial"/>
          <w:color w:val="0D0D0D"/>
          <w:sz w:val="24"/>
          <w:szCs w:val="24"/>
          <w:lang w:eastAsia="en-US"/>
        </w:rPr>
        <w:t>value of a reporting unit below its carrying amount. ASC 350 identifies several examples of events and circumstances that may indicate possible goodwill impairment, including adverse changes in the business environment, significant declines in market value, increased competition, loss of key personnel, and significant asset impairments.</w:t>
      </w:r>
    </w:p>
    <w:p w14:paraId="042D4E38" w14:textId="77777777"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When a triggering event occurs, an entity that follows the general goodwill impairment model must evaluate the affected reporting unit for impairment between its annual testing dates. The entity may first perform a qualitative assessment. If the entity determines that it is more likely than not that fair value is less than carrying amount, it performs the quantitative impairment test.</w:t>
      </w:r>
    </w:p>
    <w:p w14:paraId="591E7B4E" w14:textId="147A24BC"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Under the quantitative test, the carrying amount of the reporting unit, including goodwill, is compared with fair</w:t>
      </w:r>
      <w:r w:rsidR="00780633">
        <w:rPr>
          <w:rFonts w:ascii="Arial" w:eastAsia="Times New Roman" w:hAnsi="Arial" w:cs="Arial"/>
          <w:color w:val="0D0D0D"/>
          <w:sz w:val="24"/>
          <w:szCs w:val="24"/>
          <w:lang w:eastAsia="en-US"/>
        </w:rPr>
        <w:t xml:space="preserve"> market</w:t>
      </w:r>
      <w:r w:rsidRPr="00483DCB">
        <w:rPr>
          <w:rFonts w:ascii="Arial" w:eastAsia="Times New Roman" w:hAnsi="Arial" w:cs="Arial"/>
          <w:color w:val="0D0D0D"/>
          <w:sz w:val="24"/>
          <w:szCs w:val="24"/>
          <w:lang w:eastAsia="en-US"/>
        </w:rPr>
        <w:t xml:space="preserve"> value. If </w:t>
      </w:r>
      <w:r w:rsidR="00F27538">
        <w:rPr>
          <w:rFonts w:ascii="Arial" w:eastAsia="Times New Roman" w:hAnsi="Arial" w:cs="Arial"/>
          <w:color w:val="0D0D0D"/>
          <w:sz w:val="24"/>
          <w:szCs w:val="24"/>
          <w:lang w:eastAsia="en-US"/>
        </w:rPr>
        <w:t xml:space="preserve">the </w:t>
      </w:r>
      <w:r w:rsidRPr="00483DCB">
        <w:rPr>
          <w:rFonts w:ascii="Arial" w:eastAsia="Times New Roman" w:hAnsi="Arial" w:cs="Arial"/>
          <w:color w:val="0D0D0D"/>
          <w:sz w:val="24"/>
          <w:szCs w:val="24"/>
          <w:lang w:eastAsia="en-US"/>
        </w:rPr>
        <w:t xml:space="preserve">carrying amount exceeds </w:t>
      </w:r>
      <w:r w:rsidR="00780633">
        <w:rPr>
          <w:rFonts w:ascii="Arial" w:eastAsia="Times New Roman" w:hAnsi="Arial" w:cs="Arial"/>
          <w:color w:val="0D0D0D"/>
          <w:sz w:val="24"/>
          <w:szCs w:val="24"/>
          <w:lang w:eastAsia="en-US"/>
        </w:rPr>
        <w:t>FMV</w:t>
      </w:r>
      <w:r w:rsidRPr="00483DCB">
        <w:rPr>
          <w:rFonts w:ascii="Arial" w:eastAsia="Times New Roman" w:hAnsi="Arial" w:cs="Arial"/>
          <w:color w:val="0D0D0D"/>
          <w:sz w:val="24"/>
          <w:szCs w:val="24"/>
          <w:lang w:eastAsia="en-US"/>
        </w:rPr>
        <w:t>, the difference is recognized as a goodwill impairment loss, limited to the amount of goodwill assigned to the reporting unit (FASB, n.d.).</w:t>
      </w:r>
    </w:p>
    <w:p w14:paraId="7214CCE2" w14:textId="77777777" w:rsidR="00F27538"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0D3A9FBE" w14:textId="77777777" w:rsidR="00F27538" w:rsidRPr="00483DCB" w:rsidRDefault="00F27538" w:rsidP="00483DCB">
      <w:pPr>
        <w:shd w:val="clear" w:color="auto" w:fill="FFFFFF"/>
        <w:spacing w:after="0" w:line="240" w:lineRule="auto"/>
        <w:jc w:val="left"/>
        <w:rPr>
          <w:rFonts w:ascii="Arial" w:eastAsia="Times New Roman" w:hAnsi="Arial" w:cs="Arial"/>
          <w:color w:val="0D0D0D"/>
          <w:sz w:val="24"/>
          <w:szCs w:val="24"/>
          <w:lang w:eastAsia="en-US"/>
        </w:rPr>
      </w:pPr>
    </w:p>
    <w:p w14:paraId="016D4BB0" w14:textId="77777777" w:rsidR="00483DCB" w:rsidRPr="00483DCB" w:rsidRDefault="00483DCB" w:rsidP="00483DC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483DCB">
        <w:rPr>
          <w:rFonts w:ascii="Arial" w:eastAsia="Times New Roman" w:hAnsi="Arial" w:cs="Arial"/>
          <w:b/>
          <w:bCs/>
          <w:color w:val="0D0D0D"/>
          <w:sz w:val="24"/>
          <w:szCs w:val="24"/>
          <w:lang w:eastAsia="en-US"/>
        </w:rPr>
        <w:t>A8. No Triggering Event Occurs</w:t>
      </w:r>
    </w:p>
    <w:p w14:paraId="58FD4513" w14:textId="77777777" w:rsidR="00483DCB" w:rsidRPr="00F27538" w:rsidRDefault="00483DCB" w:rsidP="00483DCB">
      <w:pPr>
        <w:shd w:val="clear" w:color="auto" w:fill="FFFFFF"/>
        <w:spacing w:after="0" w:line="240" w:lineRule="auto"/>
        <w:jc w:val="left"/>
        <w:outlineLvl w:val="2"/>
        <w:rPr>
          <w:rFonts w:ascii="Arial" w:eastAsia="Times New Roman" w:hAnsi="Arial" w:cs="Arial"/>
          <w:color w:val="0D0D0D"/>
          <w:sz w:val="24"/>
          <w:szCs w:val="24"/>
          <w:u w:val="single"/>
          <w:lang w:eastAsia="en-US"/>
        </w:rPr>
      </w:pPr>
      <w:r w:rsidRPr="00F27538">
        <w:rPr>
          <w:rFonts w:ascii="Arial" w:eastAsia="Times New Roman" w:hAnsi="Arial" w:cs="Arial"/>
          <w:color w:val="0D0D0D"/>
          <w:sz w:val="24"/>
          <w:szCs w:val="24"/>
          <w:u w:val="single"/>
          <w:lang w:eastAsia="en-US"/>
        </w:rPr>
        <w:t>Authoritative Guidance</w:t>
      </w:r>
    </w:p>
    <w:p w14:paraId="074FD534" w14:textId="308FCC4F" w:rsidR="00483DCB" w:rsidRPr="00204268" w:rsidRDefault="00483DCB" w:rsidP="00483DCB">
      <w:pPr>
        <w:numPr>
          <w:ilvl w:val="0"/>
          <w:numId w:val="22"/>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Topic: ASC 350, </w:t>
      </w:r>
      <w:r w:rsidRPr="00204268">
        <w:rPr>
          <w:rFonts w:ascii="Arial" w:eastAsia="Times New Roman" w:hAnsi="Arial" w:cs="Arial"/>
          <w:i/>
          <w:iCs/>
          <w:color w:val="0D0D0D"/>
          <w:sz w:val="24"/>
          <w:szCs w:val="24"/>
          <w:lang w:eastAsia="en-US"/>
        </w:rPr>
        <w:t>Intangibles</w:t>
      </w:r>
      <w:r w:rsidR="00780633">
        <w:rPr>
          <w:rFonts w:ascii="Arial" w:eastAsia="Times New Roman" w:hAnsi="Arial" w:cs="Arial"/>
          <w:i/>
          <w:iCs/>
          <w:color w:val="0D0D0D"/>
          <w:sz w:val="24"/>
          <w:szCs w:val="24"/>
          <w:lang w:eastAsia="en-US"/>
        </w:rPr>
        <w:t xml:space="preserve"> - </w:t>
      </w:r>
      <w:r w:rsidRPr="00204268">
        <w:rPr>
          <w:rFonts w:ascii="Arial" w:eastAsia="Times New Roman" w:hAnsi="Arial" w:cs="Arial"/>
          <w:i/>
          <w:iCs/>
          <w:color w:val="0D0D0D"/>
          <w:sz w:val="24"/>
          <w:szCs w:val="24"/>
          <w:lang w:eastAsia="en-US"/>
        </w:rPr>
        <w:t>Goodwill and Other</w:t>
      </w:r>
    </w:p>
    <w:p w14:paraId="1CB2EF07" w14:textId="77777777" w:rsidR="00483DCB" w:rsidRPr="00204268" w:rsidRDefault="00483DCB" w:rsidP="00483DCB">
      <w:pPr>
        <w:numPr>
          <w:ilvl w:val="0"/>
          <w:numId w:val="22"/>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Subtopic: ASC 350-20, </w:t>
      </w:r>
      <w:r w:rsidRPr="00204268">
        <w:rPr>
          <w:rFonts w:ascii="Arial" w:eastAsia="Times New Roman" w:hAnsi="Arial" w:cs="Arial"/>
          <w:i/>
          <w:iCs/>
          <w:color w:val="0D0D0D"/>
          <w:sz w:val="24"/>
          <w:szCs w:val="24"/>
          <w:lang w:eastAsia="en-US"/>
        </w:rPr>
        <w:t>Goodwill</w:t>
      </w:r>
    </w:p>
    <w:p w14:paraId="1788AFCB" w14:textId="77777777" w:rsidR="00483DCB" w:rsidRPr="00204268" w:rsidRDefault="00483DCB" w:rsidP="00483DCB">
      <w:pPr>
        <w:numPr>
          <w:ilvl w:val="0"/>
          <w:numId w:val="22"/>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Section: Subsequent Measurement</w:t>
      </w:r>
    </w:p>
    <w:p w14:paraId="71CCC6D3" w14:textId="77777777" w:rsidR="00483DCB" w:rsidRPr="00204268" w:rsidRDefault="00483DCB" w:rsidP="00483DCB">
      <w:pPr>
        <w:numPr>
          <w:ilvl w:val="0"/>
          <w:numId w:val="22"/>
        </w:numPr>
        <w:shd w:val="clear" w:color="auto" w:fill="FFFFFF"/>
        <w:spacing w:before="100" w:beforeAutospacing="1" w:after="100" w:afterAutospacing="1" w:line="240" w:lineRule="auto"/>
        <w:jc w:val="left"/>
        <w:rPr>
          <w:rFonts w:ascii="Arial" w:eastAsia="Times New Roman" w:hAnsi="Arial" w:cs="Arial"/>
          <w:color w:val="0D0D0D"/>
          <w:sz w:val="24"/>
          <w:szCs w:val="24"/>
          <w:lang w:eastAsia="en-US"/>
        </w:rPr>
      </w:pPr>
      <w:r w:rsidRPr="00204268">
        <w:rPr>
          <w:rFonts w:ascii="Arial" w:eastAsia="Times New Roman" w:hAnsi="Arial" w:cs="Arial"/>
          <w:color w:val="0D0D0D"/>
          <w:sz w:val="24"/>
          <w:szCs w:val="24"/>
          <w:lang w:eastAsia="en-US"/>
        </w:rPr>
        <w:t>Paragraphs: ASC 350-20-35-28 through 35-30 and 35-66 through 35-72</w:t>
      </w:r>
    </w:p>
    <w:p w14:paraId="5A4B50A2"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 xml:space="preserve">When no triggering event occurs, an entity that follows the general goodwill impairment model continues to perform the required annual goodwill impairment test. The absence of a triggering event does not eliminate the annual impairment test for entities that have not </w:t>
      </w:r>
      <w:proofErr w:type="gramStart"/>
      <w:r w:rsidRPr="00483DCB">
        <w:rPr>
          <w:rFonts w:ascii="Arial" w:eastAsia="Times New Roman" w:hAnsi="Arial" w:cs="Arial"/>
          <w:color w:val="0D0D0D"/>
          <w:sz w:val="24"/>
          <w:szCs w:val="24"/>
          <w:lang w:eastAsia="en-US"/>
        </w:rPr>
        <w:t>elected</w:t>
      </w:r>
      <w:proofErr w:type="gramEnd"/>
      <w:r w:rsidRPr="00483DCB">
        <w:rPr>
          <w:rFonts w:ascii="Arial" w:eastAsia="Times New Roman" w:hAnsi="Arial" w:cs="Arial"/>
          <w:color w:val="0D0D0D"/>
          <w:sz w:val="24"/>
          <w:szCs w:val="24"/>
          <w:lang w:eastAsia="en-US"/>
        </w:rPr>
        <w:t xml:space="preserve"> the private-company accounting alternative.</w:t>
      </w:r>
    </w:p>
    <w:p w14:paraId="2AADA464"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16614659" w14:textId="77777777" w:rsid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For a private company that has elected the accounting alternative, an annual goodwill impairment test is not required. The company amortizes goodwill and performs an impairment evaluation when a triggering event occurs.</w:t>
      </w:r>
    </w:p>
    <w:p w14:paraId="22C30ECF" w14:textId="77777777" w:rsidR="00FC68A1" w:rsidRPr="00483DCB" w:rsidRDefault="00FC68A1" w:rsidP="00483DCB">
      <w:pPr>
        <w:shd w:val="clear" w:color="auto" w:fill="FFFFFF"/>
        <w:spacing w:after="0" w:line="240" w:lineRule="auto"/>
        <w:jc w:val="left"/>
        <w:rPr>
          <w:rFonts w:ascii="Arial" w:eastAsia="Times New Roman" w:hAnsi="Arial" w:cs="Arial"/>
          <w:color w:val="0D0D0D"/>
          <w:sz w:val="24"/>
          <w:szCs w:val="24"/>
          <w:lang w:eastAsia="en-US"/>
        </w:rPr>
      </w:pPr>
    </w:p>
    <w:p w14:paraId="2CD48299" w14:textId="77777777" w:rsidR="00483DCB" w:rsidRPr="00483DCB" w:rsidRDefault="00483DCB" w:rsidP="00483DCB">
      <w:pPr>
        <w:shd w:val="clear" w:color="auto" w:fill="FFFFFF"/>
        <w:spacing w:after="0" w:line="240" w:lineRule="auto"/>
        <w:jc w:val="left"/>
        <w:rPr>
          <w:rFonts w:ascii="Arial" w:eastAsia="Times New Roman" w:hAnsi="Arial" w:cs="Arial"/>
          <w:color w:val="0D0D0D"/>
          <w:sz w:val="24"/>
          <w:szCs w:val="24"/>
          <w:lang w:eastAsia="en-US"/>
        </w:rPr>
      </w:pPr>
      <w:r w:rsidRPr="00483DCB">
        <w:rPr>
          <w:rFonts w:ascii="Arial" w:eastAsia="Times New Roman" w:hAnsi="Arial" w:cs="Arial"/>
          <w:color w:val="0D0D0D"/>
          <w:sz w:val="24"/>
          <w:szCs w:val="24"/>
          <w:lang w:eastAsia="en-US"/>
        </w:rPr>
        <w:t>Therefore, when no triggering event occurs, the general model requires the annual impairment test, while a private company that has elected the accounting alternative does not perform an impairment test unless a triggering event occurs (FASB, n.d.).</w:t>
      </w:r>
    </w:p>
    <w:p w14:paraId="16A575D7" w14:textId="77777777" w:rsidR="00483DCB" w:rsidRPr="00483DCB" w:rsidRDefault="00483DCB" w:rsidP="00B10CCA">
      <w:pPr>
        <w:rPr>
          <w:rFonts w:ascii="Arial" w:hAnsi="Arial" w:cs="Arial"/>
          <w:b/>
          <w:bCs/>
          <w:sz w:val="24"/>
          <w:szCs w:val="24"/>
        </w:rPr>
      </w:pPr>
    </w:p>
    <w:p w14:paraId="61EAC76B" w14:textId="77777777" w:rsidR="00483DCB" w:rsidRPr="00483DCB" w:rsidRDefault="00483DCB" w:rsidP="00B10CCA">
      <w:pPr>
        <w:rPr>
          <w:rFonts w:ascii="Arial" w:hAnsi="Arial" w:cs="Arial"/>
          <w:b/>
          <w:bCs/>
          <w:sz w:val="24"/>
          <w:szCs w:val="24"/>
        </w:rPr>
      </w:pPr>
    </w:p>
    <w:p w14:paraId="6DE0ABDF" w14:textId="77777777" w:rsidR="00483DCB" w:rsidRDefault="00483DCB" w:rsidP="00B10CCA">
      <w:pPr>
        <w:rPr>
          <w:rFonts w:ascii="Arial" w:hAnsi="Arial" w:cs="Arial"/>
          <w:b/>
          <w:bCs/>
          <w:sz w:val="24"/>
          <w:szCs w:val="24"/>
        </w:rPr>
      </w:pPr>
    </w:p>
    <w:p w14:paraId="16EF37F0" w14:textId="77777777" w:rsidR="00483DCB" w:rsidRDefault="00483DCB" w:rsidP="00B10CCA">
      <w:pPr>
        <w:rPr>
          <w:rFonts w:ascii="Arial" w:hAnsi="Arial" w:cs="Arial"/>
          <w:b/>
          <w:bCs/>
          <w:sz w:val="24"/>
          <w:szCs w:val="24"/>
        </w:rPr>
      </w:pPr>
    </w:p>
    <w:p w14:paraId="5D5D46D5" w14:textId="77777777" w:rsidR="00483DCB" w:rsidRDefault="00483DCB" w:rsidP="00B10CCA">
      <w:pPr>
        <w:rPr>
          <w:rFonts w:ascii="Arial" w:hAnsi="Arial" w:cs="Arial"/>
          <w:b/>
          <w:bCs/>
          <w:sz w:val="24"/>
          <w:szCs w:val="24"/>
        </w:rPr>
      </w:pPr>
    </w:p>
    <w:p w14:paraId="04CB79A8" w14:textId="77777777" w:rsidR="00483DCB" w:rsidRDefault="00483DCB" w:rsidP="00B10CCA">
      <w:pPr>
        <w:rPr>
          <w:rFonts w:ascii="Arial" w:hAnsi="Arial" w:cs="Arial"/>
          <w:b/>
          <w:bCs/>
          <w:sz w:val="24"/>
          <w:szCs w:val="24"/>
        </w:rPr>
      </w:pPr>
    </w:p>
    <w:p w14:paraId="5B5920F7" w14:textId="77777777" w:rsidR="00483DCB" w:rsidRDefault="00483DCB" w:rsidP="00B10CCA">
      <w:pPr>
        <w:rPr>
          <w:rFonts w:ascii="Arial" w:hAnsi="Arial" w:cs="Arial"/>
          <w:b/>
          <w:bCs/>
          <w:sz w:val="24"/>
          <w:szCs w:val="24"/>
        </w:rPr>
      </w:pPr>
    </w:p>
    <w:p w14:paraId="4A124B6A" w14:textId="77777777" w:rsidR="00483DCB" w:rsidRDefault="00483DCB" w:rsidP="00B10CCA">
      <w:pPr>
        <w:rPr>
          <w:rFonts w:ascii="Arial" w:hAnsi="Arial" w:cs="Arial"/>
          <w:b/>
          <w:bCs/>
          <w:sz w:val="24"/>
          <w:szCs w:val="24"/>
        </w:rPr>
      </w:pPr>
    </w:p>
    <w:p w14:paraId="59C93900" w14:textId="77777777" w:rsidR="00483DCB" w:rsidRDefault="00483DCB" w:rsidP="00B10CCA">
      <w:pPr>
        <w:rPr>
          <w:rFonts w:ascii="Arial" w:hAnsi="Arial" w:cs="Arial"/>
          <w:b/>
          <w:bCs/>
          <w:sz w:val="24"/>
          <w:szCs w:val="24"/>
        </w:rPr>
      </w:pPr>
    </w:p>
    <w:p w14:paraId="6C825B61" w14:textId="77777777" w:rsidR="00483DCB" w:rsidRDefault="00483DCB" w:rsidP="00B10CCA">
      <w:pPr>
        <w:rPr>
          <w:rFonts w:ascii="Arial" w:hAnsi="Arial" w:cs="Arial"/>
          <w:b/>
          <w:bCs/>
          <w:sz w:val="24"/>
          <w:szCs w:val="24"/>
        </w:rPr>
      </w:pPr>
    </w:p>
    <w:p w14:paraId="5B2BA4C4" w14:textId="77777777" w:rsidR="00483DCB" w:rsidRDefault="00483DCB" w:rsidP="00B10CCA">
      <w:pPr>
        <w:rPr>
          <w:rFonts w:ascii="Arial" w:hAnsi="Arial" w:cs="Arial"/>
          <w:b/>
          <w:bCs/>
          <w:sz w:val="24"/>
          <w:szCs w:val="24"/>
        </w:rPr>
      </w:pPr>
    </w:p>
    <w:p w14:paraId="4C6248BA" w14:textId="77777777" w:rsidR="00483DCB" w:rsidRDefault="00483DCB" w:rsidP="00B10CCA">
      <w:pPr>
        <w:rPr>
          <w:rFonts w:ascii="Arial" w:hAnsi="Arial" w:cs="Arial"/>
          <w:b/>
          <w:bCs/>
          <w:sz w:val="24"/>
          <w:szCs w:val="24"/>
        </w:rPr>
      </w:pPr>
    </w:p>
    <w:p w14:paraId="6A1F552D" w14:textId="3489A0BB" w:rsidR="003827DB" w:rsidRPr="00FC68A1" w:rsidRDefault="003827DB" w:rsidP="003827DB">
      <w:pPr>
        <w:shd w:val="clear" w:color="auto" w:fill="FFFFFF"/>
        <w:spacing w:after="0" w:line="240" w:lineRule="auto"/>
        <w:jc w:val="left"/>
        <w:outlineLvl w:val="1"/>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Part B</w:t>
      </w:r>
      <w:r w:rsidR="00E17259" w:rsidRPr="00FC68A1">
        <w:rPr>
          <w:rFonts w:ascii="Arial" w:eastAsia="Times New Roman" w:hAnsi="Arial" w:cs="Arial"/>
          <w:color w:val="0D0D0D"/>
          <w:sz w:val="24"/>
          <w:szCs w:val="24"/>
          <w:lang w:eastAsia="en-US"/>
        </w:rPr>
        <w:t>: AMMRC</w:t>
      </w:r>
      <w:r w:rsidRPr="00FC68A1">
        <w:rPr>
          <w:rFonts w:ascii="Arial" w:eastAsia="Times New Roman" w:hAnsi="Arial" w:cs="Arial"/>
          <w:color w:val="0D0D0D"/>
          <w:sz w:val="24"/>
          <w:szCs w:val="24"/>
          <w:lang w:eastAsia="en-US"/>
        </w:rPr>
        <w:t xml:space="preserve"> Inc. Goodwill Impairment</w:t>
      </w:r>
    </w:p>
    <w:p w14:paraId="6B4364A6" w14:textId="77777777" w:rsidR="003827DB" w:rsidRPr="00FC68A1" w:rsidRDefault="003827DB" w:rsidP="003827DB">
      <w:pPr>
        <w:shd w:val="clear" w:color="auto" w:fill="FFFFFF"/>
        <w:spacing w:after="0" w:line="240" w:lineRule="auto"/>
        <w:jc w:val="left"/>
        <w:outlineLvl w:val="1"/>
        <w:rPr>
          <w:rFonts w:ascii="Arial" w:eastAsia="Times New Roman" w:hAnsi="Arial" w:cs="Arial"/>
          <w:color w:val="0D0D0D"/>
          <w:sz w:val="24"/>
          <w:szCs w:val="24"/>
          <w:lang w:eastAsia="en-US"/>
        </w:rPr>
      </w:pPr>
    </w:p>
    <w:p w14:paraId="4F138FBD"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Similar Economic Characteristics</w:t>
      </w:r>
    </w:p>
    <w:p w14:paraId="294DEEAA" w14:textId="77777777" w:rsidR="003827DB" w:rsidRPr="00FC68A1" w:rsidRDefault="003827DB" w:rsidP="003827DB">
      <w:pPr>
        <w:shd w:val="clear" w:color="auto" w:fill="FFFFFF"/>
        <w:spacing w:after="0" w:line="240" w:lineRule="auto"/>
        <w:jc w:val="left"/>
        <w:outlineLvl w:val="2"/>
        <w:rPr>
          <w:rFonts w:ascii="Arial" w:eastAsia="Times New Roman" w:hAnsi="Arial" w:cs="Arial"/>
          <w:color w:val="0D0D0D"/>
          <w:sz w:val="24"/>
          <w:szCs w:val="24"/>
          <w:lang w:eastAsia="en-US"/>
        </w:rPr>
      </w:pPr>
    </w:p>
    <w:p w14:paraId="3C7E312F" w14:textId="792E3BEB"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Decision: No</w:t>
      </w:r>
      <w:r w:rsidR="00780633" w:rsidRPr="00FC68A1">
        <w:rPr>
          <w:rFonts w:ascii="Arial" w:eastAsia="Times New Roman" w:hAnsi="Arial" w:cs="Arial"/>
          <w:color w:val="0D0D0D"/>
          <w:sz w:val="24"/>
          <w:szCs w:val="24"/>
          <w:lang w:eastAsia="en-US"/>
        </w:rPr>
        <w:t>. TL and DJ should be treated as separate reporting units.</w:t>
      </w:r>
    </w:p>
    <w:p w14:paraId="30FFE77D"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0F9DEDD9" w14:textId="38BA64DD" w:rsidR="00FC68A1"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Although TL and DJ are both included in AMMRC Inc.’s Greenhouse Parts and Accessories segment, they do not have similar economic characteristics. TL manufactures polycarbonate sheets and panels, while DJ manufactures heavy-duty greenhouse shelving. The companies have different products, operations, customers, risks, and cash flow patterns.</w:t>
      </w:r>
    </w:p>
    <w:p w14:paraId="1B866693"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Under ASC 350-20-35-35, components of an operating segment are aggregated into a single reporting unit when they have similar economic characteristics. Because TL and DJ have different economic characteristics, they should be evaluated as separate reporting units for goodwill impairment purposes (Financial Accounting Standards Board [FASB], 2024).</w:t>
      </w:r>
    </w:p>
    <w:p w14:paraId="6344DE84"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3E396AFD"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0E3F1149"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Public or Private Company</w:t>
      </w:r>
    </w:p>
    <w:p w14:paraId="59AC0AE1"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p>
    <w:p w14:paraId="2486CC6D"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Decision: Private Company</w:t>
      </w:r>
    </w:p>
    <w:p w14:paraId="5BED3B2E" w14:textId="77777777" w:rsidR="007E2A36" w:rsidRDefault="007E2A36" w:rsidP="003827DB">
      <w:pPr>
        <w:shd w:val="clear" w:color="auto" w:fill="FFFFFF"/>
        <w:spacing w:after="0" w:line="240" w:lineRule="auto"/>
        <w:jc w:val="left"/>
        <w:rPr>
          <w:rFonts w:ascii="Arial" w:eastAsia="Times New Roman" w:hAnsi="Arial" w:cs="Arial"/>
          <w:color w:val="0D0D0D"/>
          <w:sz w:val="24"/>
          <w:szCs w:val="24"/>
          <w:lang w:eastAsia="en-US"/>
        </w:rPr>
      </w:pPr>
    </w:p>
    <w:p w14:paraId="625D4032" w14:textId="65A3E74C"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For purposes of this analysis, AMMRC Inc. is treated as a private company. The scenario identifies DJ as a closely held corporation and does not indicate that AMMRC Inc. is a public business entity.</w:t>
      </w:r>
    </w:p>
    <w:p w14:paraId="2E74ACC2"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Because the private-company accounting alternative is available only to qualifying private companies and not-for-profit entities, the company's status must be considered when determining the appropriate goodwill accounting model (FASB, 2024).</w:t>
      </w:r>
    </w:p>
    <w:p w14:paraId="0BC09089"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4D146C36"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Election of Accounting Alternative</w:t>
      </w:r>
    </w:p>
    <w:p w14:paraId="3AE7307D" w14:textId="77777777" w:rsidR="003827DB" w:rsidRPr="00FC68A1" w:rsidRDefault="003827DB" w:rsidP="003827DB">
      <w:pPr>
        <w:shd w:val="clear" w:color="auto" w:fill="FFFFFF"/>
        <w:spacing w:after="0" w:line="240" w:lineRule="auto"/>
        <w:jc w:val="left"/>
        <w:outlineLvl w:val="2"/>
        <w:rPr>
          <w:rFonts w:ascii="Arial" w:eastAsia="Times New Roman" w:hAnsi="Arial" w:cs="Arial"/>
          <w:color w:val="0D0D0D"/>
          <w:sz w:val="24"/>
          <w:szCs w:val="24"/>
          <w:lang w:eastAsia="en-US"/>
        </w:rPr>
      </w:pPr>
    </w:p>
    <w:p w14:paraId="23883660"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Decision: AMMRC Inc. Did Not Elect the Accounting Alternative</w:t>
      </w:r>
    </w:p>
    <w:p w14:paraId="37769ED5" w14:textId="77777777" w:rsidR="007E2A36" w:rsidRDefault="007E2A36" w:rsidP="003827DB">
      <w:pPr>
        <w:shd w:val="clear" w:color="auto" w:fill="FFFFFF"/>
        <w:spacing w:after="0" w:line="240" w:lineRule="auto"/>
        <w:jc w:val="left"/>
        <w:rPr>
          <w:rFonts w:ascii="Arial" w:eastAsia="Times New Roman" w:hAnsi="Arial" w:cs="Arial"/>
          <w:color w:val="0D0D0D"/>
          <w:sz w:val="24"/>
          <w:szCs w:val="24"/>
          <w:lang w:eastAsia="en-US"/>
        </w:rPr>
      </w:pPr>
    </w:p>
    <w:p w14:paraId="3B9AC3C9" w14:textId="3704351E"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AMMRC Inc. established a policy requiring formal quantitative goodwill impairment testing every </w:t>
      </w:r>
      <w:r w:rsidR="00267CD6" w:rsidRPr="00FC68A1">
        <w:rPr>
          <w:rFonts w:ascii="Arial" w:eastAsia="Times New Roman" w:hAnsi="Arial" w:cs="Arial"/>
          <w:color w:val="0D0D0D"/>
          <w:sz w:val="24"/>
          <w:szCs w:val="24"/>
          <w:lang w:eastAsia="en-US"/>
        </w:rPr>
        <w:t>5 years, beginning in</w:t>
      </w:r>
      <w:r w:rsidRPr="00FC68A1">
        <w:rPr>
          <w:rFonts w:ascii="Arial" w:eastAsia="Times New Roman" w:hAnsi="Arial" w:cs="Arial"/>
          <w:color w:val="0D0D0D"/>
          <w:sz w:val="24"/>
          <w:szCs w:val="24"/>
          <w:lang w:eastAsia="en-US"/>
        </w:rPr>
        <w:t xml:space="preserve"> fiscal year 2021. The private-company accounting alternative permits qualifying entities to amortize goodwill on a straight-line basis over ten years, or a shorter period when appropriate, and provides a different approach for impairment testing when triggering events occur.</w:t>
      </w:r>
    </w:p>
    <w:p w14:paraId="3B55D7BA" w14:textId="1AAC0D3D"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Because AMMRC Inc.'s policy requires quantitative goodwill impairment testing rather than </w:t>
      </w:r>
      <w:r w:rsidR="00267CD6" w:rsidRPr="00FC68A1">
        <w:rPr>
          <w:rFonts w:ascii="Arial" w:eastAsia="Times New Roman" w:hAnsi="Arial" w:cs="Arial"/>
          <w:color w:val="0D0D0D"/>
          <w:sz w:val="24"/>
          <w:szCs w:val="24"/>
          <w:lang w:eastAsia="en-US"/>
        </w:rPr>
        <w:t>goodwill amortization</w:t>
      </w:r>
      <w:r w:rsidRPr="00FC68A1">
        <w:rPr>
          <w:rFonts w:ascii="Arial" w:eastAsia="Times New Roman" w:hAnsi="Arial" w:cs="Arial"/>
          <w:color w:val="0D0D0D"/>
          <w:sz w:val="24"/>
          <w:szCs w:val="24"/>
          <w:lang w:eastAsia="en-US"/>
        </w:rPr>
        <w:t xml:space="preserve"> under the accounting alternative, the facts indicate that AMMRC Inc. did not elect the accounting alternative (FASB, 2024).</w:t>
      </w:r>
    </w:p>
    <w:p w14:paraId="6C954262"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6741CF03"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Triggering Event</w:t>
      </w:r>
    </w:p>
    <w:p w14:paraId="3DEEBA50"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lang w:eastAsia="en-US"/>
        </w:rPr>
      </w:pPr>
    </w:p>
    <w:p w14:paraId="62AF9B20" w14:textId="0069B534"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Decision: Yes</w:t>
      </w:r>
      <w:r w:rsidR="00780633" w:rsidRPr="00FC68A1">
        <w:rPr>
          <w:rFonts w:ascii="Arial" w:eastAsia="Times New Roman" w:hAnsi="Arial" w:cs="Arial"/>
          <w:color w:val="0D0D0D"/>
          <w:sz w:val="24"/>
          <w:szCs w:val="24"/>
          <w:lang w:eastAsia="en-US"/>
        </w:rPr>
        <w:t>. AMMRC Inc. should perform the goodwill impairment test for TL and DJ.</w:t>
      </w:r>
    </w:p>
    <w:p w14:paraId="46E0ECEE"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4FEB4F12" w14:textId="77777777" w:rsidR="00780633"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A triggering event occurred because the scenario states that several fixed-asset groupings within the Greenhouse Parts and Accessories segment experienced significant declines in market value. A significant decline in </w:t>
      </w:r>
      <w:r w:rsidR="00267CD6" w:rsidRPr="00FC68A1">
        <w:rPr>
          <w:rFonts w:ascii="Arial" w:eastAsia="Times New Roman" w:hAnsi="Arial" w:cs="Arial"/>
          <w:color w:val="0D0D0D"/>
          <w:sz w:val="24"/>
          <w:szCs w:val="24"/>
          <w:lang w:eastAsia="en-US"/>
        </w:rPr>
        <w:t xml:space="preserve">asset value may indicate that the fair </w:t>
      </w:r>
      <w:r w:rsidR="00780633" w:rsidRPr="00FC68A1">
        <w:rPr>
          <w:rFonts w:ascii="Arial" w:eastAsia="Times New Roman" w:hAnsi="Arial" w:cs="Arial"/>
          <w:color w:val="0D0D0D"/>
          <w:sz w:val="24"/>
          <w:szCs w:val="24"/>
          <w:lang w:eastAsia="en-US"/>
        </w:rPr>
        <w:t xml:space="preserve">market </w:t>
      </w:r>
      <w:r w:rsidR="00267CD6" w:rsidRPr="00FC68A1">
        <w:rPr>
          <w:rFonts w:ascii="Arial" w:eastAsia="Times New Roman" w:hAnsi="Arial" w:cs="Arial"/>
          <w:color w:val="0D0D0D"/>
          <w:sz w:val="24"/>
          <w:szCs w:val="24"/>
          <w:lang w:eastAsia="en-US"/>
        </w:rPr>
        <w:t>value of a reporting unit has</w:t>
      </w:r>
      <w:r w:rsidRPr="00FC68A1">
        <w:rPr>
          <w:rFonts w:ascii="Arial" w:eastAsia="Times New Roman" w:hAnsi="Arial" w:cs="Arial"/>
          <w:color w:val="0D0D0D"/>
          <w:sz w:val="24"/>
          <w:szCs w:val="24"/>
          <w:lang w:eastAsia="en-US"/>
        </w:rPr>
        <w:t xml:space="preserve"> declined below its carrying amount.</w:t>
      </w:r>
      <w:r w:rsidR="00780633" w:rsidRPr="00FC68A1">
        <w:rPr>
          <w:rFonts w:ascii="Arial" w:eastAsia="Times New Roman" w:hAnsi="Arial" w:cs="Arial"/>
          <w:color w:val="0D0D0D"/>
          <w:sz w:val="24"/>
          <w:szCs w:val="24"/>
          <w:lang w:eastAsia="en-US"/>
        </w:rPr>
        <w:t xml:space="preserve"> </w:t>
      </w:r>
    </w:p>
    <w:p w14:paraId="597CDB0D" w14:textId="114554A9"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ASC 350-20-35-30 requires goodwill to be evaluated between annual tests when an event or change in circumstances indicates that the fair </w:t>
      </w:r>
      <w:r w:rsidR="00780633"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value of a reporting unit may be below its carrying amount. Therefore, the decline in the fixed-asset groupings supports performing the goodwill impairment evaluation (FASB, 2024).</w:t>
      </w:r>
    </w:p>
    <w:p w14:paraId="62A388B2"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37A73A15" w14:textId="77777777" w:rsidR="00780633" w:rsidRPr="00FC68A1" w:rsidRDefault="00780633" w:rsidP="003827DB">
      <w:pPr>
        <w:shd w:val="clear" w:color="auto" w:fill="FFFFFF"/>
        <w:spacing w:after="0" w:line="240" w:lineRule="auto"/>
        <w:jc w:val="left"/>
        <w:outlineLvl w:val="0"/>
        <w:rPr>
          <w:rFonts w:ascii="Arial" w:eastAsia="Times New Roman" w:hAnsi="Arial" w:cs="Arial"/>
          <w:color w:val="0D0D0D"/>
          <w:sz w:val="24"/>
          <w:szCs w:val="24"/>
          <w:lang w:eastAsia="en-US"/>
        </w:rPr>
      </w:pPr>
    </w:p>
    <w:p w14:paraId="268D0B61" w14:textId="097A65FC" w:rsidR="003827DB" w:rsidRPr="00FC68A1" w:rsidRDefault="003827DB" w:rsidP="003827DB">
      <w:pPr>
        <w:shd w:val="clear" w:color="auto" w:fill="FFFFFF"/>
        <w:spacing w:after="0" w:line="240" w:lineRule="auto"/>
        <w:jc w:val="left"/>
        <w:outlineLvl w:val="0"/>
        <w:rPr>
          <w:rFonts w:ascii="Arial" w:eastAsia="Times New Roman" w:hAnsi="Arial" w:cs="Arial"/>
          <w:b/>
          <w:bCs/>
          <w:color w:val="0D0D0D"/>
          <w:kern w:val="36"/>
          <w:sz w:val="24"/>
          <w:szCs w:val="24"/>
          <w:lang w:eastAsia="en-US"/>
        </w:rPr>
      </w:pPr>
      <w:r w:rsidRPr="00FC68A1">
        <w:rPr>
          <w:rFonts w:ascii="Arial" w:eastAsia="Times New Roman" w:hAnsi="Arial" w:cs="Arial"/>
          <w:b/>
          <w:bCs/>
          <w:color w:val="0D0D0D"/>
          <w:kern w:val="36"/>
          <w:sz w:val="24"/>
          <w:szCs w:val="24"/>
          <w:lang w:eastAsia="en-US"/>
        </w:rPr>
        <w:t xml:space="preserve">Part B1 – Goodwill Impairment </w:t>
      </w:r>
      <w:r w:rsidR="00DB739F" w:rsidRPr="00FC68A1">
        <w:rPr>
          <w:rFonts w:ascii="Arial" w:eastAsia="Times New Roman" w:hAnsi="Arial" w:cs="Arial"/>
          <w:b/>
          <w:bCs/>
          <w:color w:val="0D0D0D"/>
          <w:kern w:val="36"/>
          <w:sz w:val="24"/>
          <w:szCs w:val="24"/>
          <w:lang w:eastAsia="en-US"/>
        </w:rPr>
        <w:t>Loss</w:t>
      </w:r>
    </w:p>
    <w:p w14:paraId="7EB45F6F" w14:textId="77777777" w:rsidR="003827DB" w:rsidRPr="00FC68A1" w:rsidRDefault="003827DB" w:rsidP="003827DB">
      <w:pPr>
        <w:shd w:val="clear" w:color="auto" w:fill="FFFFFF"/>
        <w:spacing w:after="0" w:line="240" w:lineRule="auto"/>
        <w:jc w:val="left"/>
        <w:outlineLvl w:val="0"/>
        <w:rPr>
          <w:rFonts w:ascii="Arial" w:eastAsia="Times New Roman" w:hAnsi="Arial" w:cs="Arial"/>
          <w:color w:val="0D0D0D"/>
          <w:kern w:val="36"/>
          <w:sz w:val="24"/>
          <w:szCs w:val="24"/>
          <w:lang w:eastAsia="en-US"/>
        </w:rPr>
      </w:pPr>
    </w:p>
    <w:p w14:paraId="0BFA5EA2" w14:textId="22C21A5E"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Before testing goodwill, the carrying amounts of the reporting units must reflect the appropriate adjustments to fixed assets and inventory. The resulting carrying amount of each reporting unit, including goodwill, is then compared with its fair </w:t>
      </w:r>
      <w:r w:rsidR="00780633"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value under ASC 350-20-35-2 (FASB, 2024).</w:t>
      </w:r>
    </w:p>
    <w:p w14:paraId="60A729E4" w14:textId="77777777"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p>
    <w:p w14:paraId="1F0D30E4" w14:textId="58FED310" w:rsidR="003827DB" w:rsidRPr="00FC68A1" w:rsidRDefault="003827DB"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1: Fixed-Asset Impairment</w:t>
      </w:r>
    </w:p>
    <w:p w14:paraId="31499FDA" w14:textId="77777777" w:rsidR="00017B19" w:rsidRPr="00FC68A1" w:rsidRDefault="00017B19"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p>
    <w:p w14:paraId="281C1E3C" w14:textId="408C359A" w:rsidR="00017B19" w:rsidRPr="00FC68A1" w:rsidRDefault="00017B19" w:rsidP="003827DB">
      <w:pPr>
        <w:shd w:val="clear" w:color="auto" w:fill="FFFFFF"/>
        <w:spacing w:after="0" w:line="240" w:lineRule="auto"/>
        <w:jc w:val="left"/>
        <w:outlineLvl w:val="1"/>
        <w:rPr>
          <w:rFonts w:ascii="Arial" w:eastAsia="Times New Roman" w:hAnsi="Arial" w:cs="Arial"/>
          <w:i/>
          <w:iCs/>
          <w:color w:val="0D0D0D"/>
          <w:lang w:eastAsia="en-US"/>
        </w:rPr>
      </w:pPr>
      <w:r w:rsidRPr="00FC68A1">
        <w:rPr>
          <w:rFonts w:ascii="Arial" w:eastAsia="Times New Roman" w:hAnsi="Arial" w:cs="Arial"/>
          <w:i/>
          <w:iCs/>
          <w:color w:val="0D0D0D"/>
          <w:lang w:eastAsia="en-US"/>
        </w:rPr>
        <w:t>Source: D252 Task 2 Relevant Financial Data.xlsx</w:t>
      </w:r>
    </w:p>
    <w:p w14:paraId="52795DA3" w14:textId="7BF64165" w:rsidR="00017B19" w:rsidRPr="00FC68A1" w:rsidRDefault="00E17259"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FC68A1">
        <w:rPr>
          <w:rFonts w:ascii="Arial" w:hAnsi="Arial" w:cs="Arial"/>
          <w:noProof/>
          <w:sz w:val="24"/>
          <w:szCs w:val="24"/>
        </w:rPr>
        <w:drawing>
          <wp:inline distT="0" distB="0" distL="0" distR="0" wp14:anchorId="2F52B967" wp14:editId="433E9DFF">
            <wp:extent cx="6858000" cy="1766570"/>
            <wp:effectExtent l="0" t="0" r="0" b="5080"/>
            <wp:docPr id="16284990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1766570"/>
                    </a:xfrm>
                    <a:prstGeom prst="rect">
                      <a:avLst/>
                    </a:prstGeom>
                    <a:noFill/>
                    <a:ln>
                      <a:noFill/>
                    </a:ln>
                  </pic:spPr>
                </pic:pic>
              </a:graphicData>
            </a:graphic>
          </wp:inline>
        </w:drawing>
      </w:r>
    </w:p>
    <w:p w14:paraId="3E8F55C9" w14:textId="77777777" w:rsidR="00DB739F" w:rsidRPr="00FC68A1" w:rsidRDefault="00DB739F" w:rsidP="00DB739F">
      <w:pPr>
        <w:shd w:val="clear" w:color="auto" w:fill="FFFFFF"/>
        <w:spacing w:after="0" w:line="240" w:lineRule="auto"/>
        <w:jc w:val="left"/>
        <w:rPr>
          <w:rFonts w:ascii="Arial" w:eastAsia="Times New Roman" w:hAnsi="Arial" w:cs="Arial"/>
          <w:color w:val="0D0D0D"/>
          <w:sz w:val="24"/>
          <w:szCs w:val="24"/>
          <w:lang w:eastAsia="en-US"/>
        </w:rPr>
      </w:pPr>
    </w:p>
    <w:p w14:paraId="5151940F" w14:textId="5594D0D0" w:rsidR="00DB739F" w:rsidRPr="00FC68A1" w:rsidRDefault="00DB739F" w:rsidP="00DB739F">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For groups 2, 6, and 7, the sum of undiscounted future cash flows is less than the book value. Therefore, those asset groups fail the recoverability test. The impairment loss is measured using the difference between carrying amount and fair </w:t>
      </w:r>
      <w:r w:rsidR="009006C9"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value under ASC 360-10-35-17.</w:t>
      </w:r>
    </w:p>
    <w:p w14:paraId="664D8391" w14:textId="77777777" w:rsidR="00017B19" w:rsidRPr="00FC68A1" w:rsidRDefault="00017B19" w:rsidP="003827DB">
      <w:pPr>
        <w:shd w:val="clear" w:color="auto" w:fill="FFFFFF"/>
        <w:spacing w:after="0" w:line="240" w:lineRule="auto"/>
        <w:jc w:val="left"/>
        <w:rPr>
          <w:rFonts w:ascii="Arial" w:eastAsia="Times New Roman" w:hAnsi="Arial" w:cs="Arial"/>
          <w:color w:val="0D0D0D"/>
          <w:sz w:val="24"/>
          <w:szCs w:val="24"/>
          <w:lang w:eastAsia="en-US"/>
        </w:rPr>
      </w:pPr>
    </w:p>
    <w:p w14:paraId="646E9F46" w14:textId="10ACBD3D" w:rsidR="00017B19" w:rsidRPr="00FC68A1" w:rsidRDefault="00017B19" w:rsidP="00E17259">
      <w:pPr>
        <w:shd w:val="clear" w:color="auto" w:fill="FFFFFF"/>
        <w:spacing w:after="0" w:line="240" w:lineRule="auto"/>
        <w:jc w:val="left"/>
        <w:outlineLvl w:val="1"/>
        <w:rPr>
          <w:rFonts w:ascii="Arial" w:eastAsia="Times New Roman" w:hAnsi="Arial" w:cs="Arial"/>
          <w:i/>
          <w:iCs/>
          <w:color w:val="0D0D0D"/>
          <w:lang w:eastAsia="en-US"/>
        </w:rPr>
      </w:pPr>
      <w:r w:rsidRPr="00FC68A1">
        <w:rPr>
          <w:rFonts w:ascii="Arial" w:eastAsia="Times New Roman" w:hAnsi="Arial" w:cs="Arial"/>
          <w:i/>
          <w:iCs/>
          <w:color w:val="0D0D0D"/>
          <w:lang w:eastAsia="en-US"/>
        </w:rPr>
        <w:t>Source: D252 Task 2 Relevant Financial Data.xlsx</w:t>
      </w:r>
    </w:p>
    <w:p w14:paraId="4C757EDF" w14:textId="42478506" w:rsidR="00017B19" w:rsidRPr="00FC68A1" w:rsidRDefault="00E17259"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hAnsi="Arial" w:cs="Arial"/>
          <w:noProof/>
          <w:sz w:val="24"/>
          <w:szCs w:val="24"/>
        </w:rPr>
        <w:drawing>
          <wp:inline distT="0" distB="0" distL="0" distR="0" wp14:anchorId="43045D18" wp14:editId="3B8A129E">
            <wp:extent cx="6858000" cy="1442720"/>
            <wp:effectExtent l="0" t="0" r="0" b="5080"/>
            <wp:docPr id="20739434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442720"/>
                    </a:xfrm>
                    <a:prstGeom prst="rect">
                      <a:avLst/>
                    </a:prstGeom>
                    <a:noFill/>
                    <a:ln>
                      <a:noFill/>
                    </a:ln>
                  </pic:spPr>
                </pic:pic>
              </a:graphicData>
            </a:graphic>
          </wp:inline>
        </w:drawing>
      </w:r>
    </w:p>
    <w:p w14:paraId="2453DC99" w14:textId="77777777" w:rsidR="00017B19" w:rsidRPr="00FC68A1" w:rsidRDefault="00017B19" w:rsidP="003827DB">
      <w:pPr>
        <w:shd w:val="clear" w:color="auto" w:fill="FFFFFF"/>
        <w:spacing w:after="0" w:line="240" w:lineRule="auto"/>
        <w:jc w:val="left"/>
        <w:rPr>
          <w:rFonts w:ascii="Arial" w:eastAsia="Times New Roman" w:hAnsi="Arial" w:cs="Arial"/>
          <w:color w:val="0D0D0D"/>
          <w:sz w:val="24"/>
          <w:szCs w:val="24"/>
          <w:lang w:eastAsia="en-US"/>
        </w:rPr>
      </w:pPr>
    </w:p>
    <w:p w14:paraId="3673AF9B" w14:textId="48D77A30" w:rsidR="00E17259" w:rsidRPr="00FC68A1" w:rsidRDefault="004650B2" w:rsidP="00DB739F">
      <w:pPr>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For group 1, the sum of undiscounted future cash flows is less than the book value. </w:t>
      </w:r>
      <w:r w:rsidR="00DB739F" w:rsidRPr="00FC68A1">
        <w:rPr>
          <w:rFonts w:ascii="Arial" w:eastAsia="Times New Roman" w:hAnsi="Arial" w:cs="Arial"/>
          <w:color w:val="0D0D0D"/>
          <w:sz w:val="24"/>
          <w:szCs w:val="24"/>
          <w:lang w:eastAsia="en-US"/>
        </w:rPr>
        <w:t xml:space="preserve">The fixed-asset impairment analysis is consistent with ASC 360-10-35-17, which requires an asset group to be tested for recoverability using undiscounted cash flows and, </w:t>
      </w:r>
      <w:r w:rsidR="00E17259" w:rsidRPr="00FC68A1">
        <w:rPr>
          <w:rFonts w:ascii="Arial" w:eastAsia="Times New Roman" w:hAnsi="Arial" w:cs="Arial"/>
          <w:color w:val="0D0D0D"/>
          <w:sz w:val="24"/>
          <w:szCs w:val="24"/>
          <w:lang w:eastAsia="en-US"/>
        </w:rPr>
        <w:t>if</w:t>
      </w:r>
      <w:r w:rsidR="00DB739F" w:rsidRPr="00FC68A1">
        <w:rPr>
          <w:rFonts w:ascii="Arial" w:eastAsia="Times New Roman" w:hAnsi="Arial" w:cs="Arial"/>
          <w:color w:val="0D0D0D"/>
          <w:sz w:val="24"/>
          <w:szCs w:val="24"/>
          <w:lang w:eastAsia="en-US"/>
        </w:rPr>
        <w:t xml:space="preserve"> not recoverable, measured at fair</w:t>
      </w:r>
      <w:r w:rsidR="00780633" w:rsidRPr="00FC68A1">
        <w:rPr>
          <w:rFonts w:ascii="Arial" w:eastAsia="Times New Roman" w:hAnsi="Arial" w:cs="Arial"/>
          <w:color w:val="0D0D0D"/>
          <w:sz w:val="24"/>
          <w:szCs w:val="24"/>
          <w:lang w:eastAsia="en-US"/>
        </w:rPr>
        <w:t xml:space="preserve"> market</w:t>
      </w:r>
      <w:r w:rsidR="00DB739F" w:rsidRPr="00FC68A1">
        <w:rPr>
          <w:rFonts w:ascii="Arial" w:eastAsia="Times New Roman" w:hAnsi="Arial" w:cs="Arial"/>
          <w:color w:val="0D0D0D"/>
          <w:sz w:val="24"/>
          <w:szCs w:val="24"/>
          <w:lang w:eastAsia="en-US"/>
        </w:rPr>
        <w:t xml:space="preserve"> value (FASB, 2024)</w:t>
      </w:r>
      <w:r w:rsidR="00E17259" w:rsidRPr="00FC68A1">
        <w:rPr>
          <w:rFonts w:ascii="Arial" w:eastAsia="Times New Roman" w:hAnsi="Arial" w:cs="Arial"/>
          <w:color w:val="0D0D0D"/>
          <w:sz w:val="24"/>
          <w:szCs w:val="24"/>
          <w:lang w:eastAsia="en-US"/>
        </w:rPr>
        <w:t>.</w:t>
      </w:r>
    </w:p>
    <w:p w14:paraId="15693854" w14:textId="6CFDB72F" w:rsidR="00161289" w:rsidRPr="00FC68A1" w:rsidRDefault="00161289" w:rsidP="00161289">
      <w:pPr>
        <w:rPr>
          <w:rFonts w:ascii="Arial" w:eastAsia="Times New Roman" w:hAnsi="Arial" w:cs="Arial"/>
          <w:color w:val="0D0D0D"/>
          <w:sz w:val="24"/>
          <w:szCs w:val="24"/>
          <w:lang w:eastAsia="en-US"/>
        </w:rPr>
      </w:pPr>
      <w:r w:rsidRPr="00FC68A1">
        <w:rPr>
          <w:rFonts w:ascii="Arial" w:eastAsia="Times New Roman" w:hAnsi="Arial" w:cs="Arial"/>
          <w:b/>
          <w:bCs/>
          <w:color w:val="0D0D0D"/>
          <w:sz w:val="24"/>
          <w:szCs w:val="24"/>
          <w:lang w:eastAsia="en-US"/>
        </w:rPr>
        <w:t>Total TL Corporation fixed asset impairment:</w:t>
      </w:r>
      <w:r w:rsidRPr="00FC68A1">
        <w:rPr>
          <w:rFonts w:ascii="Arial" w:eastAsia="Times New Roman" w:hAnsi="Arial" w:cs="Arial"/>
          <w:color w:val="0D0D0D"/>
          <w:sz w:val="24"/>
          <w:szCs w:val="24"/>
          <w:lang w:eastAsia="en-US"/>
        </w:rPr>
        <w:t xml:space="preserve"> $450,000; Adjusted PP&amp;E: $15,000,000 − $450,000 = $14,550,000</w:t>
      </w:r>
    </w:p>
    <w:p w14:paraId="4FFFE7BD" w14:textId="3B1961FE" w:rsidR="00161289" w:rsidRDefault="00161289" w:rsidP="00161289">
      <w:pPr>
        <w:rPr>
          <w:rFonts w:ascii="Arial" w:eastAsia="Times New Roman" w:hAnsi="Arial" w:cs="Arial"/>
          <w:color w:val="0D0D0D"/>
          <w:sz w:val="24"/>
          <w:szCs w:val="24"/>
          <w:lang w:eastAsia="en-US"/>
        </w:rPr>
      </w:pPr>
      <w:r w:rsidRPr="00FC68A1">
        <w:rPr>
          <w:rFonts w:ascii="Arial" w:eastAsia="Times New Roman" w:hAnsi="Arial" w:cs="Arial"/>
          <w:b/>
          <w:bCs/>
          <w:color w:val="0D0D0D"/>
          <w:sz w:val="24"/>
          <w:szCs w:val="24"/>
          <w:lang w:eastAsia="en-US"/>
        </w:rPr>
        <w:t>Total DJ Corporation fixed asset impairment:</w:t>
      </w:r>
      <w:r w:rsidRPr="00FC68A1">
        <w:rPr>
          <w:rFonts w:ascii="Arial" w:eastAsia="Times New Roman" w:hAnsi="Arial" w:cs="Arial"/>
          <w:color w:val="0D0D0D"/>
          <w:sz w:val="24"/>
          <w:szCs w:val="24"/>
          <w:lang w:eastAsia="en-US"/>
        </w:rPr>
        <w:t xml:space="preserve"> $240,000</w:t>
      </w:r>
      <w:r w:rsidRPr="00FC68A1">
        <w:rPr>
          <w:rFonts w:ascii="Arial" w:hAnsi="Arial" w:cs="Arial"/>
          <w:sz w:val="24"/>
          <w:szCs w:val="24"/>
        </w:rPr>
        <w:t xml:space="preserve">; </w:t>
      </w:r>
      <w:r w:rsidRPr="00FC68A1">
        <w:rPr>
          <w:rFonts w:ascii="Arial" w:eastAsia="Times New Roman" w:hAnsi="Arial" w:cs="Arial"/>
          <w:color w:val="0D0D0D"/>
          <w:sz w:val="24"/>
          <w:szCs w:val="24"/>
          <w:lang w:eastAsia="en-US"/>
        </w:rPr>
        <w:t>Adjusted PP&amp;E: $3,200,000 − $240,000 = $2,960,000</w:t>
      </w:r>
    </w:p>
    <w:p w14:paraId="5CEE48DD" w14:textId="77777777" w:rsidR="00FC68A1" w:rsidRDefault="00FC68A1" w:rsidP="00161289">
      <w:pPr>
        <w:rPr>
          <w:rFonts w:ascii="Arial" w:eastAsia="Times New Roman" w:hAnsi="Arial" w:cs="Arial"/>
          <w:color w:val="0D0D0D"/>
          <w:sz w:val="24"/>
          <w:szCs w:val="24"/>
          <w:lang w:eastAsia="en-US"/>
        </w:rPr>
      </w:pPr>
    </w:p>
    <w:p w14:paraId="609B244A" w14:textId="77777777" w:rsidR="007E2A36" w:rsidRDefault="007E2A36" w:rsidP="00161289">
      <w:pPr>
        <w:rPr>
          <w:rFonts w:ascii="Arial" w:eastAsia="Times New Roman" w:hAnsi="Arial" w:cs="Arial"/>
          <w:color w:val="0D0D0D"/>
          <w:sz w:val="24"/>
          <w:szCs w:val="24"/>
          <w:lang w:eastAsia="en-US"/>
        </w:rPr>
      </w:pPr>
    </w:p>
    <w:p w14:paraId="3FBE604D" w14:textId="77777777" w:rsidR="007E2A36" w:rsidRPr="00FC68A1" w:rsidRDefault="007E2A36" w:rsidP="00161289">
      <w:pPr>
        <w:rPr>
          <w:rFonts w:ascii="Arial" w:eastAsia="Times New Roman" w:hAnsi="Arial" w:cs="Arial"/>
          <w:color w:val="0D0D0D"/>
          <w:sz w:val="24"/>
          <w:szCs w:val="24"/>
          <w:lang w:eastAsia="en-US"/>
        </w:rPr>
      </w:pPr>
    </w:p>
    <w:p w14:paraId="0E970C75" w14:textId="1CBB593C" w:rsidR="003827DB" w:rsidRPr="00FC68A1" w:rsidRDefault="003827DB"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2: Inventory Impairment</w:t>
      </w:r>
    </w:p>
    <w:p w14:paraId="249EA03A" w14:textId="77777777" w:rsidR="00A54545" w:rsidRPr="00FC68A1" w:rsidRDefault="00A54545" w:rsidP="003827DB">
      <w:pPr>
        <w:shd w:val="clear" w:color="auto" w:fill="FFFFFF"/>
        <w:spacing w:after="0" w:line="240" w:lineRule="auto"/>
        <w:jc w:val="left"/>
        <w:outlineLvl w:val="1"/>
        <w:rPr>
          <w:rFonts w:ascii="Arial" w:eastAsia="Times New Roman" w:hAnsi="Arial" w:cs="Arial"/>
          <w:color w:val="0D0D0D"/>
          <w:sz w:val="24"/>
          <w:szCs w:val="24"/>
          <w:lang w:eastAsia="en-US"/>
        </w:rPr>
      </w:pPr>
    </w:p>
    <w:p w14:paraId="53C5B07B" w14:textId="45CBABA9" w:rsidR="003827DB" w:rsidRPr="00FC68A1" w:rsidRDefault="00A54545" w:rsidP="003827DB">
      <w:pPr>
        <w:shd w:val="clear" w:color="auto" w:fill="FFFFFF"/>
        <w:spacing w:after="0" w:line="240" w:lineRule="auto"/>
        <w:jc w:val="left"/>
        <w:outlineLvl w:val="2"/>
        <w:rPr>
          <w:rFonts w:ascii="Arial" w:eastAsia="Times New Roman" w:hAnsi="Arial" w:cs="Arial"/>
          <w:i/>
          <w:iCs/>
          <w:color w:val="0D0D0D"/>
          <w:lang w:eastAsia="en-US"/>
        </w:rPr>
      </w:pPr>
      <w:r w:rsidRPr="00FC68A1">
        <w:rPr>
          <w:rFonts w:ascii="Arial" w:eastAsia="Times New Roman" w:hAnsi="Arial" w:cs="Arial"/>
          <w:i/>
          <w:iCs/>
          <w:color w:val="0D0D0D"/>
          <w:lang w:eastAsia="en-US"/>
        </w:rPr>
        <w:t>Source: D252 Task 2 Relevant Financial Data.xlsx</w:t>
      </w:r>
    </w:p>
    <w:p w14:paraId="496DB7F1" w14:textId="68CE33FF" w:rsidR="00DB739F" w:rsidRPr="00FC68A1" w:rsidRDefault="00A54545" w:rsidP="003827DB">
      <w:pPr>
        <w:shd w:val="clear" w:color="auto" w:fill="FFFFFF"/>
        <w:spacing w:after="0" w:line="240" w:lineRule="auto"/>
        <w:jc w:val="left"/>
        <w:outlineLvl w:val="2"/>
        <w:rPr>
          <w:rFonts w:ascii="Arial" w:eastAsia="Times New Roman" w:hAnsi="Arial" w:cs="Arial"/>
          <w:color w:val="0D0D0D"/>
          <w:sz w:val="24"/>
          <w:szCs w:val="24"/>
          <w:lang w:eastAsia="en-US"/>
        </w:rPr>
      </w:pPr>
      <w:r w:rsidRPr="00FC68A1">
        <w:rPr>
          <w:rFonts w:ascii="Arial" w:hAnsi="Arial" w:cs="Arial"/>
          <w:noProof/>
          <w:sz w:val="24"/>
          <w:szCs w:val="24"/>
        </w:rPr>
        <w:drawing>
          <wp:inline distT="0" distB="0" distL="0" distR="0" wp14:anchorId="384BA799" wp14:editId="02CC0AFD">
            <wp:extent cx="5715000" cy="923925"/>
            <wp:effectExtent l="0" t="0" r="0" b="9525"/>
            <wp:docPr id="9134215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923925"/>
                    </a:xfrm>
                    <a:prstGeom prst="rect">
                      <a:avLst/>
                    </a:prstGeom>
                    <a:noFill/>
                    <a:ln>
                      <a:noFill/>
                    </a:ln>
                  </pic:spPr>
                </pic:pic>
              </a:graphicData>
            </a:graphic>
          </wp:inline>
        </w:drawing>
      </w:r>
    </w:p>
    <w:p w14:paraId="62103F90" w14:textId="2C0A9BD4" w:rsidR="003827DB" w:rsidRPr="00FC68A1" w:rsidRDefault="003827DB"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The inventory is measured using the lower-of-cost-or-market approach</w:t>
      </w:r>
      <w:r w:rsidR="00267CD6" w:rsidRPr="00FC68A1">
        <w:rPr>
          <w:rFonts w:ascii="Arial" w:eastAsia="Times New Roman" w:hAnsi="Arial" w:cs="Arial"/>
          <w:color w:val="0D0D0D"/>
          <w:sz w:val="24"/>
          <w:szCs w:val="24"/>
          <w:lang w:eastAsia="en-US"/>
        </w:rPr>
        <w:t xml:space="preserve">, as applicable to the dollar-value LIFO inventory </w:t>
      </w:r>
      <w:r w:rsidRPr="00FC68A1">
        <w:rPr>
          <w:rFonts w:ascii="Arial" w:eastAsia="Times New Roman" w:hAnsi="Arial" w:cs="Arial"/>
          <w:color w:val="0D0D0D"/>
          <w:sz w:val="24"/>
          <w:szCs w:val="24"/>
          <w:lang w:eastAsia="en-US"/>
        </w:rPr>
        <w:t>in the scenario.</w:t>
      </w:r>
    </w:p>
    <w:p w14:paraId="24637232" w14:textId="1F852761" w:rsidR="003827DB" w:rsidRPr="00FC68A1" w:rsidRDefault="003827DB" w:rsidP="00A54545">
      <w:pPr>
        <w:pStyle w:val="ListParagraph"/>
        <w:numPr>
          <w:ilvl w:val="0"/>
          <w:numId w:val="23"/>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Replacement cost = $3,300,000</w:t>
      </w:r>
    </w:p>
    <w:p w14:paraId="1620BDCF" w14:textId="77777777" w:rsidR="003827DB" w:rsidRPr="00FC68A1" w:rsidRDefault="003827DB" w:rsidP="00A54545">
      <w:pPr>
        <w:pStyle w:val="ListParagraph"/>
        <w:numPr>
          <w:ilvl w:val="0"/>
          <w:numId w:val="23"/>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NRV − normal profit margin = $2,800,000</w:t>
      </w:r>
    </w:p>
    <w:p w14:paraId="37CCF0E1" w14:textId="31FAB600" w:rsidR="00DB739F" w:rsidRPr="00FC68A1" w:rsidRDefault="003827DB" w:rsidP="003827DB">
      <w:pPr>
        <w:pStyle w:val="ListParagraph"/>
        <w:numPr>
          <w:ilvl w:val="0"/>
          <w:numId w:val="23"/>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Designated market value = greater of the two amounts:</w:t>
      </w:r>
      <w:r w:rsidR="00A54545" w:rsidRPr="00FC68A1">
        <w:rPr>
          <w:rFonts w:ascii="Arial" w:eastAsia="Times New Roman" w:hAnsi="Arial" w:cs="Arial"/>
          <w:color w:val="0D0D0D"/>
          <w:sz w:val="24"/>
          <w:szCs w:val="24"/>
          <w:lang w:eastAsia="en-US"/>
        </w:rPr>
        <w:t xml:space="preserve"> </w:t>
      </w:r>
      <w:r w:rsidRPr="00FC68A1">
        <w:rPr>
          <w:rFonts w:ascii="Arial" w:eastAsia="Times New Roman" w:hAnsi="Arial" w:cs="Arial"/>
          <w:color w:val="0D0D0D"/>
          <w:sz w:val="24"/>
          <w:szCs w:val="24"/>
          <w:lang w:eastAsia="en-US"/>
        </w:rPr>
        <w:t>$3,300,000</w:t>
      </w:r>
    </w:p>
    <w:p w14:paraId="0AEFCC48" w14:textId="77777777" w:rsidR="00A54545" w:rsidRPr="00FC68A1" w:rsidRDefault="003827DB" w:rsidP="00A54545">
      <w:pPr>
        <w:pStyle w:val="ListParagraph"/>
        <w:numPr>
          <w:ilvl w:val="0"/>
          <w:numId w:val="23"/>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Inventory cost = $3,800,000</w:t>
      </w:r>
    </w:p>
    <w:p w14:paraId="51461136" w14:textId="77777777" w:rsidR="00A54545" w:rsidRPr="00FC68A1" w:rsidRDefault="00A54545" w:rsidP="003827DB">
      <w:pPr>
        <w:shd w:val="clear" w:color="auto" w:fill="FFFFFF"/>
        <w:spacing w:after="0" w:line="240" w:lineRule="auto"/>
        <w:jc w:val="left"/>
        <w:rPr>
          <w:rFonts w:ascii="Arial" w:eastAsia="Times New Roman" w:hAnsi="Arial" w:cs="Arial"/>
          <w:b/>
          <w:bCs/>
          <w:color w:val="0D0D0D"/>
          <w:sz w:val="24"/>
          <w:szCs w:val="24"/>
          <w:lang w:eastAsia="en-US"/>
        </w:rPr>
      </w:pPr>
    </w:p>
    <w:p w14:paraId="3130E552" w14:textId="7777FD87" w:rsidR="003827DB" w:rsidRPr="00FC68A1" w:rsidRDefault="003827DB" w:rsidP="003827DB">
      <w:pPr>
        <w:shd w:val="clear" w:color="auto" w:fill="FFFFFF"/>
        <w:spacing w:after="0" w:line="240" w:lineRule="auto"/>
        <w:jc w:val="left"/>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Inventory impairment:</w:t>
      </w:r>
      <w:r w:rsidR="00A54545" w:rsidRPr="00FC68A1">
        <w:rPr>
          <w:rFonts w:ascii="Arial" w:eastAsia="Times New Roman" w:hAnsi="Arial" w:cs="Arial"/>
          <w:b/>
          <w:bCs/>
          <w:color w:val="0D0D0D"/>
          <w:sz w:val="24"/>
          <w:szCs w:val="24"/>
          <w:lang w:eastAsia="en-US"/>
        </w:rPr>
        <w:t xml:space="preserve"> </w:t>
      </w:r>
      <w:r w:rsidRPr="00FC68A1">
        <w:rPr>
          <w:rFonts w:ascii="Arial" w:eastAsia="Times New Roman" w:hAnsi="Arial" w:cs="Arial"/>
          <w:b/>
          <w:bCs/>
          <w:color w:val="0D0D0D"/>
          <w:sz w:val="24"/>
          <w:szCs w:val="24"/>
          <w:lang w:eastAsia="en-US"/>
        </w:rPr>
        <w:t>$3,800,000 − $3,300,000 = $500,000</w:t>
      </w:r>
    </w:p>
    <w:p w14:paraId="3F8AFC99" w14:textId="77777777" w:rsidR="00DB739F" w:rsidRPr="00FC68A1" w:rsidRDefault="00DB739F" w:rsidP="003827DB">
      <w:pPr>
        <w:shd w:val="clear" w:color="auto" w:fill="FFFFFF"/>
        <w:spacing w:after="0" w:line="240" w:lineRule="auto"/>
        <w:jc w:val="left"/>
        <w:rPr>
          <w:rFonts w:ascii="Arial" w:eastAsia="Times New Roman" w:hAnsi="Arial" w:cs="Arial"/>
          <w:color w:val="0D0D0D"/>
          <w:sz w:val="24"/>
          <w:szCs w:val="24"/>
          <w:lang w:eastAsia="en-US"/>
        </w:rPr>
      </w:pPr>
    </w:p>
    <w:p w14:paraId="7A444E0E" w14:textId="77777777" w:rsidR="00A54545" w:rsidRPr="00FC68A1" w:rsidRDefault="00A54545" w:rsidP="00A54545">
      <w:pPr>
        <w:shd w:val="clear" w:color="auto" w:fill="FFFFFF"/>
        <w:spacing w:after="0" w:line="240" w:lineRule="auto"/>
        <w:jc w:val="left"/>
        <w:outlineLvl w:val="2"/>
        <w:rPr>
          <w:rFonts w:ascii="Arial" w:eastAsia="Times New Roman" w:hAnsi="Arial" w:cs="Arial"/>
          <w:i/>
          <w:iCs/>
          <w:color w:val="0D0D0D"/>
          <w:lang w:eastAsia="en-US"/>
        </w:rPr>
      </w:pPr>
      <w:r w:rsidRPr="00FC68A1">
        <w:rPr>
          <w:rFonts w:ascii="Arial" w:eastAsia="Times New Roman" w:hAnsi="Arial" w:cs="Arial"/>
          <w:i/>
          <w:iCs/>
          <w:color w:val="0D0D0D"/>
          <w:lang w:eastAsia="en-US"/>
        </w:rPr>
        <w:t>Source: D252 Task 2 Relevant Financial Data.xlsx</w:t>
      </w:r>
    </w:p>
    <w:p w14:paraId="6583B5E2" w14:textId="12B4DA70" w:rsidR="00A54545" w:rsidRPr="00FC68A1" w:rsidRDefault="00A54545" w:rsidP="003827DB">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hAnsi="Arial" w:cs="Arial"/>
          <w:noProof/>
          <w:sz w:val="24"/>
          <w:szCs w:val="24"/>
        </w:rPr>
        <w:drawing>
          <wp:inline distT="0" distB="0" distL="0" distR="0" wp14:anchorId="3EBC3664" wp14:editId="1E67E47A">
            <wp:extent cx="5715000" cy="552450"/>
            <wp:effectExtent l="0" t="0" r="0" b="0"/>
            <wp:docPr id="12637868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552450"/>
                    </a:xfrm>
                    <a:prstGeom prst="rect">
                      <a:avLst/>
                    </a:prstGeom>
                    <a:noFill/>
                    <a:ln>
                      <a:noFill/>
                    </a:ln>
                  </pic:spPr>
                </pic:pic>
              </a:graphicData>
            </a:graphic>
          </wp:inline>
        </w:drawing>
      </w:r>
    </w:p>
    <w:p w14:paraId="620340A5" w14:textId="77777777" w:rsidR="00A54545" w:rsidRPr="00FC68A1" w:rsidRDefault="00A54545" w:rsidP="003827DB">
      <w:pPr>
        <w:shd w:val="clear" w:color="auto" w:fill="FFFFFF"/>
        <w:spacing w:after="0" w:line="240" w:lineRule="auto"/>
        <w:jc w:val="left"/>
        <w:rPr>
          <w:rFonts w:ascii="Arial" w:eastAsia="Times New Roman" w:hAnsi="Arial" w:cs="Arial"/>
          <w:color w:val="0D0D0D"/>
          <w:sz w:val="24"/>
          <w:szCs w:val="24"/>
          <w:lang w:eastAsia="en-US"/>
        </w:rPr>
      </w:pPr>
    </w:p>
    <w:p w14:paraId="3ED139FC" w14:textId="77777777" w:rsidR="003827DB" w:rsidRPr="00FC68A1" w:rsidRDefault="003827DB" w:rsidP="00A54545">
      <w:pPr>
        <w:pStyle w:val="ListParagraph"/>
        <w:numPr>
          <w:ilvl w:val="0"/>
          <w:numId w:val="24"/>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Replacement cost = $800,000</w:t>
      </w:r>
    </w:p>
    <w:p w14:paraId="7BAA4891" w14:textId="77777777" w:rsidR="003827DB" w:rsidRPr="00FC68A1" w:rsidRDefault="003827DB" w:rsidP="00A54545">
      <w:pPr>
        <w:pStyle w:val="ListParagraph"/>
        <w:numPr>
          <w:ilvl w:val="0"/>
          <w:numId w:val="24"/>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NRV − normal profit margin = $1,000,000</w:t>
      </w:r>
    </w:p>
    <w:p w14:paraId="26372401" w14:textId="1006C9BD" w:rsidR="003827DB" w:rsidRPr="00FC68A1" w:rsidRDefault="003827DB" w:rsidP="003827DB">
      <w:pPr>
        <w:pStyle w:val="ListParagraph"/>
        <w:numPr>
          <w:ilvl w:val="0"/>
          <w:numId w:val="24"/>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Designated market value = greater of the two amounts:</w:t>
      </w:r>
      <w:r w:rsidR="00A54545" w:rsidRPr="00FC68A1">
        <w:rPr>
          <w:rFonts w:ascii="Arial" w:eastAsia="Times New Roman" w:hAnsi="Arial" w:cs="Arial"/>
          <w:color w:val="0D0D0D"/>
          <w:sz w:val="24"/>
          <w:szCs w:val="24"/>
          <w:lang w:eastAsia="en-US"/>
        </w:rPr>
        <w:t xml:space="preserve"> </w:t>
      </w:r>
      <w:r w:rsidRPr="00FC68A1">
        <w:rPr>
          <w:rFonts w:ascii="Arial" w:eastAsia="Times New Roman" w:hAnsi="Arial" w:cs="Arial"/>
          <w:color w:val="0D0D0D"/>
          <w:sz w:val="24"/>
          <w:szCs w:val="24"/>
          <w:lang w:eastAsia="en-US"/>
        </w:rPr>
        <w:t>$1,000,000</w:t>
      </w:r>
    </w:p>
    <w:p w14:paraId="2C6D04D8" w14:textId="77777777" w:rsidR="003827DB" w:rsidRPr="00FC68A1" w:rsidRDefault="003827DB" w:rsidP="00A54545">
      <w:pPr>
        <w:pStyle w:val="ListParagraph"/>
        <w:numPr>
          <w:ilvl w:val="0"/>
          <w:numId w:val="24"/>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Inventory cost = $1,100,000</w:t>
      </w:r>
    </w:p>
    <w:p w14:paraId="0ADA9E5B" w14:textId="77777777" w:rsidR="00A54545" w:rsidRPr="00FC68A1" w:rsidRDefault="00A54545" w:rsidP="00A54545">
      <w:pPr>
        <w:pStyle w:val="ListParagraph"/>
        <w:shd w:val="clear" w:color="auto" w:fill="FFFFFF"/>
        <w:spacing w:after="0" w:line="240" w:lineRule="auto"/>
        <w:jc w:val="left"/>
        <w:rPr>
          <w:rFonts w:ascii="Arial" w:eastAsia="Times New Roman" w:hAnsi="Arial" w:cs="Arial"/>
          <w:color w:val="0D0D0D"/>
          <w:sz w:val="24"/>
          <w:szCs w:val="24"/>
          <w:lang w:eastAsia="en-US"/>
        </w:rPr>
      </w:pPr>
    </w:p>
    <w:p w14:paraId="07CD021F" w14:textId="016CE9AC" w:rsidR="003827DB" w:rsidRPr="00FC68A1" w:rsidRDefault="003827DB" w:rsidP="003827DB">
      <w:pPr>
        <w:shd w:val="clear" w:color="auto" w:fill="FFFFFF"/>
        <w:spacing w:after="0" w:line="240" w:lineRule="auto"/>
        <w:jc w:val="left"/>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Inventory impairment:</w:t>
      </w:r>
      <w:r w:rsidR="00A54545" w:rsidRPr="00FC68A1">
        <w:rPr>
          <w:rFonts w:ascii="Arial" w:eastAsia="Times New Roman" w:hAnsi="Arial" w:cs="Arial"/>
          <w:b/>
          <w:bCs/>
          <w:color w:val="0D0D0D"/>
          <w:sz w:val="24"/>
          <w:szCs w:val="24"/>
          <w:lang w:eastAsia="en-US"/>
        </w:rPr>
        <w:t xml:space="preserve"> </w:t>
      </w:r>
      <w:r w:rsidRPr="00FC68A1">
        <w:rPr>
          <w:rFonts w:ascii="Arial" w:eastAsia="Times New Roman" w:hAnsi="Arial" w:cs="Arial"/>
          <w:b/>
          <w:bCs/>
          <w:color w:val="0D0D0D"/>
          <w:sz w:val="24"/>
          <w:szCs w:val="24"/>
          <w:lang w:eastAsia="en-US"/>
        </w:rPr>
        <w:t>$1,100,000 − $1,000,000 = $100,000</w:t>
      </w:r>
    </w:p>
    <w:p w14:paraId="5ED7070C" w14:textId="2F986198" w:rsidR="003827DB" w:rsidRPr="00FC68A1" w:rsidRDefault="003827DB" w:rsidP="003827DB">
      <w:pPr>
        <w:spacing w:after="0" w:line="240" w:lineRule="auto"/>
        <w:jc w:val="left"/>
        <w:rPr>
          <w:rFonts w:ascii="Arial" w:eastAsia="Times New Roman" w:hAnsi="Arial" w:cs="Arial"/>
          <w:sz w:val="24"/>
          <w:szCs w:val="24"/>
          <w:lang w:eastAsia="en-US"/>
        </w:rPr>
      </w:pPr>
    </w:p>
    <w:p w14:paraId="7A364281" w14:textId="02E36256" w:rsidR="003827DB" w:rsidRPr="00FC68A1" w:rsidRDefault="003827DB"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3: Determine the Adjusted Carrying Amount of Each Reporting Unit</w:t>
      </w:r>
    </w:p>
    <w:p w14:paraId="2AE24405" w14:textId="77777777" w:rsidR="00A54545" w:rsidRPr="00FC68A1" w:rsidRDefault="00A54545" w:rsidP="003827DB">
      <w:pPr>
        <w:shd w:val="clear" w:color="auto" w:fill="FFFFFF"/>
        <w:spacing w:after="0" w:line="240" w:lineRule="auto"/>
        <w:jc w:val="left"/>
        <w:outlineLvl w:val="1"/>
        <w:rPr>
          <w:rFonts w:ascii="Arial" w:eastAsia="Times New Roman" w:hAnsi="Arial" w:cs="Arial"/>
          <w:color w:val="0D0D0D"/>
          <w:sz w:val="24"/>
          <w:szCs w:val="24"/>
          <w:lang w:eastAsia="en-US"/>
        </w:rPr>
      </w:pPr>
    </w:p>
    <w:p w14:paraId="0EA24554"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u w:val="single"/>
          <w:lang w:eastAsia="en-US"/>
        </w:rPr>
      </w:pPr>
      <w:r w:rsidRPr="00FC68A1">
        <w:rPr>
          <w:rFonts w:ascii="Arial" w:eastAsia="Times New Roman" w:hAnsi="Arial" w:cs="Arial"/>
          <w:b/>
          <w:bCs/>
          <w:color w:val="0D0D0D"/>
          <w:sz w:val="24"/>
          <w:szCs w:val="24"/>
          <w:u w:val="single"/>
          <w:lang w:eastAsia="en-US"/>
        </w:rPr>
        <w:t>TL Corporation</w:t>
      </w:r>
    </w:p>
    <w:p w14:paraId="024A61BD"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Unadjusted assets = $20,000,000</w:t>
      </w:r>
    </w:p>
    <w:p w14:paraId="7A94484D"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fixed-asset impairment = $450,000</w:t>
      </w:r>
    </w:p>
    <w:p w14:paraId="25A6BE78"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inventory impairment = $500,000</w:t>
      </w:r>
    </w:p>
    <w:p w14:paraId="08E5BBD1"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Adjusted assets = $19,050,000</w:t>
      </w:r>
    </w:p>
    <w:p w14:paraId="7062F992"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liabilities = $8,000,000</w:t>
      </w:r>
    </w:p>
    <w:p w14:paraId="200D3C2B"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Adjusted net assets before goodwill = $11,050,000</w:t>
      </w:r>
    </w:p>
    <w:p w14:paraId="36CA0747"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Recorded goodwill = $1,300,000</w:t>
      </w:r>
    </w:p>
    <w:p w14:paraId="7F85F778" w14:textId="77777777" w:rsidR="003827DB" w:rsidRPr="00FC68A1" w:rsidRDefault="003827DB" w:rsidP="00E17259">
      <w:pPr>
        <w:pStyle w:val="ListParagraph"/>
        <w:numPr>
          <w:ilvl w:val="0"/>
          <w:numId w:val="25"/>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Reporting-unit carrying amount, including goodwill = $12,350,000</w:t>
      </w:r>
    </w:p>
    <w:p w14:paraId="49F250DE" w14:textId="77777777" w:rsidR="00A54545" w:rsidRPr="00FC68A1" w:rsidRDefault="00A54545" w:rsidP="003827DB">
      <w:pPr>
        <w:shd w:val="clear" w:color="auto" w:fill="FFFFFF"/>
        <w:spacing w:after="0" w:line="240" w:lineRule="auto"/>
        <w:jc w:val="left"/>
        <w:rPr>
          <w:rFonts w:ascii="Arial" w:eastAsia="Times New Roman" w:hAnsi="Arial" w:cs="Arial"/>
          <w:color w:val="0D0D0D"/>
          <w:sz w:val="24"/>
          <w:szCs w:val="24"/>
          <w:lang w:eastAsia="en-US"/>
        </w:rPr>
      </w:pPr>
    </w:p>
    <w:p w14:paraId="5173BE23"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u w:val="single"/>
          <w:lang w:eastAsia="en-US"/>
        </w:rPr>
      </w:pPr>
      <w:r w:rsidRPr="00FC68A1">
        <w:rPr>
          <w:rFonts w:ascii="Arial" w:eastAsia="Times New Roman" w:hAnsi="Arial" w:cs="Arial"/>
          <w:b/>
          <w:bCs/>
          <w:color w:val="0D0D0D"/>
          <w:sz w:val="24"/>
          <w:szCs w:val="24"/>
          <w:u w:val="single"/>
          <w:lang w:eastAsia="en-US"/>
        </w:rPr>
        <w:t>DJ Corporation</w:t>
      </w:r>
    </w:p>
    <w:p w14:paraId="6052352E"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Unadjusted assets = $5,000,000</w:t>
      </w:r>
    </w:p>
    <w:p w14:paraId="4CCF1833"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fixed-asset impairment = $240,000</w:t>
      </w:r>
    </w:p>
    <w:p w14:paraId="3FE04B59"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inventory impairment = $100,000</w:t>
      </w:r>
    </w:p>
    <w:p w14:paraId="1AB7619D"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Adjusted assets = $4,660,000</w:t>
      </w:r>
    </w:p>
    <w:p w14:paraId="08287411"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Less liabilities = $3,000,000</w:t>
      </w:r>
    </w:p>
    <w:p w14:paraId="12F97437"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Adjusted net assets before goodwill = $1,660,000</w:t>
      </w:r>
    </w:p>
    <w:p w14:paraId="06EC12C3"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Recorded goodwill = $550,000</w:t>
      </w:r>
    </w:p>
    <w:p w14:paraId="29987FD5" w14:textId="77777777" w:rsidR="003827DB" w:rsidRPr="00FC68A1" w:rsidRDefault="003827DB" w:rsidP="00E17259">
      <w:pPr>
        <w:pStyle w:val="ListParagraph"/>
        <w:numPr>
          <w:ilvl w:val="0"/>
          <w:numId w:val="26"/>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Reporting-unit carrying amount, including goodwill = $2,210,000</w:t>
      </w:r>
    </w:p>
    <w:p w14:paraId="0EAA91A7" w14:textId="77777777" w:rsidR="00E17259" w:rsidRPr="00FC68A1" w:rsidRDefault="00E17259" w:rsidP="003827DB">
      <w:pPr>
        <w:shd w:val="clear" w:color="auto" w:fill="FFFFFF"/>
        <w:spacing w:after="0" w:line="240" w:lineRule="auto"/>
        <w:jc w:val="left"/>
        <w:outlineLvl w:val="1"/>
        <w:rPr>
          <w:rFonts w:ascii="Arial" w:eastAsia="Times New Roman" w:hAnsi="Arial" w:cs="Arial"/>
          <w:color w:val="0D0D0D"/>
          <w:sz w:val="24"/>
          <w:szCs w:val="24"/>
          <w:lang w:eastAsia="en-US"/>
        </w:rPr>
      </w:pPr>
    </w:p>
    <w:p w14:paraId="1E40C797" w14:textId="5F665CAC" w:rsidR="003827DB" w:rsidRPr="00FC68A1" w:rsidRDefault="003827DB" w:rsidP="003827DB">
      <w:pPr>
        <w:shd w:val="clear" w:color="auto" w:fill="FFFFFF"/>
        <w:spacing w:after="0" w:line="240" w:lineRule="auto"/>
        <w:jc w:val="left"/>
        <w:outlineLvl w:val="1"/>
        <w:rPr>
          <w:rFonts w:ascii="Arial" w:eastAsia="Times New Roman" w:hAnsi="Arial" w:cs="Arial"/>
          <w:b/>
          <w:bCs/>
          <w:color w:val="0D0D0D"/>
          <w:sz w:val="24"/>
          <w:szCs w:val="24"/>
          <w:lang w:eastAsia="en-US"/>
        </w:rPr>
      </w:pPr>
      <w:r w:rsidRPr="00FC68A1">
        <w:rPr>
          <w:rFonts w:ascii="Arial" w:eastAsia="Times New Roman" w:hAnsi="Arial" w:cs="Arial"/>
          <w:b/>
          <w:bCs/>
          <w:color w:val="0D0D0D"/>
          <w:sz w:val="24"/>
          <w:szCs w:val="24"/>
          <w:lang w:eastAsia="en-US"/>
        </w:rPr>
        <w:t xml:space="preserve">4: Compare Carrying Amount </w:t>
      </w:r>
      <w:r w:rsidR="00E17259" w:rsidRPr="00FC68A1">
        <w:rPr>
          <w:rFonts w:ascii="Arial" w:eastAsia="Times New Roman" w:hAnsi="Arial" w:cs="Arial"/>
          <w:b/>
          <w:bCs/>
          <w:color w:val="0D0D0D"/>
          <w:sz w:val="24"/>
          <w:szCs w:val="24"/>
          <w:lang w:eastAsia="en-US"/>
        </w:rPr>
        <w:t>with</w:t>
      </w:r>
      <w:r w:rsidRPr="00FC68A1">
        <w:rPr>
          <w:rFonts w:ascii="Arial" w:eastAsia="Times New Roman" w:hAnsi="Arial" w:cs="Arial"/>
          <w:b/>
          <w:bCs/>
          <w:color w:val="0D0D0D"/>
          <w:sz w:val="24"/>
          <w:szCs w:val="24"/>
          <w:lang w:eastAsia="en-US"/>
        </w:rPr>
        <w:t xml:space="preserve"> Fair </w:t>
      </w:r>
      <w:r w:rsidR="00E17259" w:rsidRPr="00FC68A1">
        <w:rPr>
          <w:rFonts w:ascii="Arial" w:eastAsia="Times New Roman" w:hAnsi="Arial" w:cs="Arial"/>
          <w:b/>
          <w:bCs/>
          <w:color w:val="0D0D0D"/>
          <w:sz w:val="24"/>
          <w:szCs w:val="24"/>
          <w:lang w:eastAsia="en-US"/>
        </w:rPr>
        <w:t xml:space="preserve">Market </w:t>
      </w:r>
      <w:r w:rsidRPr="00FC68A1">
        <w:rPr>
          <w:rFonts w:ascii="Arial" w:eastAsia="Times New Roman" w:hAnsi="Arial" w:cs="Arial"/>
          <w:b/>
          <w:bCs/>
          <w:color w:val="0D0D0D"/>
          <w:sz w:val="24"/>
          <w:szCs w:val="24"/>
          <w:lang w:eastAsia="en-US"/>
        </w:rPr>
        <w:t>Value</w:t>
      </w:r>
    </w:p>
    <w:p w14:paraId="719F1681" w14:textId="77777777" w:rsidR="00E17259" w:rsidRPr="00FC68A1" w:rsidRDefault="00E17259" w:rsidP="003827DB">
      <w:pPr>
        <w:shd w:val="clear" w:color="auto" w:fill="FFFFFF"/>
        <w:spacing w:after="0" w:line="240" w:lineRule="auto"/>
        <w:jc w:val="left"/>
        <w:outlineLvl w:val="1"/>
        <w:rPr>
          <w:rFonts w:ascii="Arial" w:eastAsia="Times New Roman" w:hAnsi="Arial" w:cs="Arial"/>
          <w:color w:val="0D0D0D"/>
          <w:sz w:val="24"/>
          <w:szCs w:val="24"/>
          <w:lang w:eastAsia="en-US"/>
        </w:rPr>
      </w:pPr>
    </w:p>
    <w:p w14:paraId="36359CEF"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u w:val="single"/>
          <w:lang w:eastAsia="en-US"/>
        </w:rPr>
      </w:pPr>
      <w:r w:rsidRPr="00FC68A1">
        <w:rPr>
          <w:rFonts w:ascii="Arial" w:eastAsia="Times New Roman" w:hAnsi="Arial" w:cs="Arial"/>
          <w:b/>
          <w:bCs/>
          <w:color w:val="0D0D0D"/>
          <w:sz w:val="24"/>
          <w:szCs w:val="24"/>
          <w:u w:val="single"/>
          <w:lang w:eastAsia="en-US"/>
        </w:rPr>
        <w:t>TL Corporation</w:t>
      </w:r>
    </w:p>
    <w:p w14:paraId="41D255B0" w14:textId="77777777" w:rsidR="003827DB" w:rsidRPr="00FC68A1" w:rsidRDefault="003827DB" w:rsidP="00E17259">
      <w:pPr>
        <w:pStyle w:val="ListParagraph"/>
        <w:numPr>
          <w:ilvl w:val="0"/>
          <w:numId w:val="27"/>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Reporting-unit carrying amount, including goodwill = $12,350,000</w:t>
      </w:r>
    </w:p>
    <w:p w14:paraId="3D2E2B1D" w14:textId="42B7005A" w:rsidR="003827DB" w:rsidRPr="00FC68A1" w:rsidRDefault="003827DB" w:rsidP="00E17259">
      <w:pPr>
        <w:pStyle w:val="ListParagraph"/>
        <w:numPr>
          <w:ilvl w:val="0"/>
          <w:numId w:val="27"/>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Fair </w:t>
      </w:r>
      <w:r w:rsidR="00E645BC"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value = $11,000,000</w:t>
      </w:r>
    </w:p>
    <w:p w14:paraId="2E3BAA49" w14:textId="6989391E" w:rsidR="003827DB" w:rsidRPr="00FC68A1" w:rsidRDefault="003827DB" w:rsidP="00161289">
      <w:pPr>
        <w:pStyle w:val="ListParagraph"/>
        <w:numPr>
          <w:ilvl w:val="0"/>
          <w:numId w:val="27"/>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Excess carrying amount over </w:t>
      </w:r>
      <w:r w:rsidR="00E645BC" w:rsidRPr="00FC68A1">
        <w:rPr>
          <w:rFonts w:ascii="Arial" w:eastAsia="Times New Roman" w:hAnsi="Arial" w:cs="Arial"/>
          <w:color w:val="0D0D0D"/>
          <w:sz w:val="24"/>
          <w:szCs w:val="24"/>
          <w:lang w:eastAsia="en-US"/>
        </w:rPr>
        <w:t>FMV</w:t>
      </w:r>
      <w:r w:rsidRPr="00FC68A1">
        <w:rPr>
          <w:rFonts w:ascii="Arial" w:eastAsia="Times New Roman" w:hAnsi="Arial" w:cs="Arial"/>
          <w:color w:val="0D0D0D"/>
          <w:sz w:val="24"/>
          <w:szCs w:val="24"/>
          <w:lang w:eastAsia="en-US"/>
        </w:rPr>
        <w:t>:</w:t>
      </w:r>
      <w:r w:rsidR="00161289" w:rsidRPr="00FC68A1">
        <w:rPr>
          <w:rFonts w:ascii="Arial" w:eastAsia="Times New Roman" w:hAnsi="Arial" w:cs="Arial"/>
          <w:color w:val="0D0D0D"/>
          <w:sz w:val="24"/>
          <w:szCs w:val="24"/>
          <w:lang w:eastAsia="en-US"/>
        </w:rPr>
        <w:t xml:space="preserve"> </w:t>
      </w:r>
      <w:r w:rsidRPr="00FC68A1">
        <w:rPr>
          <w:rFonts w:ascii="Arial" w:eastAsia="Times New Roman" w:hAnsi="Arial" w:cs="Arial"/>
          <w:color w:val="0D0D0D"/>
          <w:sz w:val="24"/>
          <w:szCs w:val="24"/>
          <w:lang w:eastAsia="en-US"/>
        </w:rPr>
        <w:t>$12,350,000 − $11,000,000 = $1,350,000</w:t>
      </w:r>
    </w:p>
    <w:p w14:paraId="420085B1" w14:textId="77777777" w:rsidR="003827DB" w:rsidRPr="00FC68A1" w:rsidRDefault="003827DB" w:rsidP="00E17259">
      <w:pPr>
        <w:pStyle w:val="ListParagraph"/>
        <w:numPr>
          <w:ilvl w:val="0"/>
          <w:numId w:val="27"/>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Recorded goodwill = $1,300,000</w:t>
      </w:r>
    </w:p>
    <w:p w14:paraId="5B15FBF9" w14:textId="555996CD" w:rsidR="00E17259" w:rsidRPr="00FC68A1" w:rsidRDefault="00E645BC" w:rsidP="00E17259">
      <w:pPr>
        <w:pStyle w:val="ListParagraph"/>
        <w:numPr>
          <w:ilvl w:val="0"/>
          <w:numId w:val="27"/>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I</w:t>
      </w:r>
      <w:r w:rsidR="00E17259" w:rsidRPr="00FC68A1">
        <w:rPr>
          <w:rFonts w:ascii="Arial" w:eastAsia="Times New Roman" w:hAnsi="Arial" w:cs="Arial"/>
          <w:color w:val="0D0D0D"/>
          <w:sz w:val="24"/>
          <w:szCs w:val="24"/>
          <w:lang w:eastAsia="en-US"/>
        </w:rPr>
        <w:t>mpairment loss = $1,300,000</w:t>
      </w:r>
    </w:p>
    <w:p w14:paraId="28D0AB94" w14:textId="77777777" w:rsidR="00E17259" w:rsidRPr="00FC68A1" w:rsidRDefault="00E17259" w:rsidP="003827DB">
      <w:pPr>
        <w:shd w:val="clear" w:color="auto" w:fill="FFFFFF"/>
        <w:spacing w:after="0" w:line="240" w:lineRule="auto"/>
        <w:jc w:val="left"/>
        <w:rPr>
          <w:rFonts w:ascii="Arial" w:eastAsia="Times New Roman" w:hAnsi="Arial" w:cs="Arial"/>
          <w:color w:val="0D0D0D"/>
          <w:sz w:val="24"/>
          <w:szCs w:val="24"/>
          <w:lang w:eastAsia="en-US"/>
        </w:rPr>
      </w:pPr>
    </w:p>
    <w:p w14:paraId="7545765C" w14:textId="7101DE49" w:rsidR="003827DB" w:rsidRPr="00FC68A1" w:rsidRDefault="003827DB" w:rsidP="00204268">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Because the impairment loss cannot exceed the goodwill assigned to the reporting unit, the goodwill impairment loss </w:t>
      </w:r>
      <w:r w:rsidR="00161289" w:rsidRPr="00FC68A1">
        <w:rPr>
          <w:rFonts w:ascii="Arial" w:eastAsia="Times New Roman" w:hAnsi="Arial" w:cs="Arial"/>
          <w:color w:val="0D0D0D"/>
          <w:sz w:val="24"/>
          <w:szCs w:val="24"/>
          <w:lang w:eastAsia="en-US"/>
        </w:rPr>
        <w:t xml:space="preserve">for TL Corporation </w:t>
      </w:r>
      <w:r w:rsidRPr="00FC68A1">
        <w:rPr>
          <w:rFonts w:ascii="Arial" w:eastAsia="Times New Roman" w:hAnsi="Arial" w:cs="Arial"/>
          <w:color w:val="0D0D0D"/>
          <w:sz w:val="24"/>
          <w:szCs w:val="24"/>
          <w:lang w:eastAsia="en-US"/>
        </w:rPr>
        <w:t>is limited to $1,300,000</w:t>
      </w:r>
      <w:r w:rsidR="00161289" w:rsidRPr="00FC68A1">
        <w:rPr>
          <w:rFonts w:ascii="Arial" w:eastAsia="Times New Roman" w:hAnsi="Arial" w:cs="Arial"/>
          <w:color w:val="0D0D0D"/>
          <w:sz w:val="24"/>
          <w:szCs w:val="24"/>
          <w:lang w:eastAsia="en-US"/>
        </w:rPr>
        <w:t xml:space="preserve">. </w:t>
      </w:r>
      <w:r w:rsidRPr="00FC68A1">
        <w:rPr>
          <w:rFonts w:ascii="Arial" w:eastAsia="Times New Roman" w:hAnsi="Arial" w:cs="Arial"/>
          <w:color w:val="0D0D0D"/>
          <w:sz w:val="24"/>
          <w:szCs w:val="24"/>
          <w:lang w:eastAsia="en-US"/>
        </w:rPr>
        <w:t>ASC 350-20-35-2 (FASB, 2024). </w:t>
      </w:r>
    </w:p>
    <w:p w14:paraId="36DD1762" w14:textId="77777777" w:rsidR="00161289" w:rsidRPr="00FC68A1" w:rsidRDefault="00161289" w:rsidP="00204268">
      <w:pPr>
        <w:shd w:val="clear" w:color="auto" w:fill="FFFFFF"/>
        <w:spacing w:after="0" w:line="240" w:lineRule="auto"/>
        <w:jc w:val="left"/>
        <w:rPr>
          <w:rFonts w:ascii="Arial" w:eastAsia="Times New Roman" w:hAnsi="Arial" w:cs="Arial"/>
          <w:color w:val="0D0D0D"/>
          <w:sz w:val="24"/>
          <w:szCs w:val="24"/>
          <w:lang w:eastAsia="en-US"/>
        </w:rPr>
      </w:pPr>
    </w:p>
    <w:p w14:paraId="7BC616E8" w14:textId="77777777" w:rsidR="00161289" w:rsidRPr="00FC68A1" w:rsidRDefault="00161289" w:rsidP="00204268">
      <w:pPr>
        <w:shd w:val="clear" w:color="auto" w:fill="FFFFFF"/>
        <w:spacing w:after="0" w:line="240" w:lineRule="auto"/>
        <w:jc w:val="left"/>
        <w:rPr>
          <w:rFonts w:ascii="Arial" w:eastAsia="Times New Roman" w:hAnsi="Arial" w:cs="Arial"/>
          <w:color w:val="0D0D0D"/>
          <w:sz w:val="24"/>
          <w:szCs w:val="24"/>
          <w:lang w:eastAsia="en-US"/>
        </w:rPr>
      </w:pPr>
    </w:p>
    <w:p w14:paraId="282F4795" w14:textId="77777777" w:rsidR="003827DB" w:rsidRPr="00FC68A1" w:rsidRDefault="003827DB" w:rsidP="003827DB">
      <w:pPr>
        <w:shd w:val="clear" w:color="auto" w:fill="FFFFFF"/>
        <w:spacing w:after="0" w:line="240" w:lineRule="auto"/>
        <w:jc w:val="left"/>
        <w:outlineLvl w:val="2"/>
        <w:rPr>
          <w:rFonts w:ascii="Arial" w:eastAsia="Times New Roman" w:hAnsi="Arial" w:cs="Arial"/>
          <w:b/>
          <w:bCs/>
          <w:color w:val="0D0D0D"/>
          <w:sz w:val="24"/>
          <w:szCs w:val="24"/>
          <w:u w:val="single"/>
          <w:lang w:eastAsia="en-US"/>
        </w:rPr>
      </w:pPr>
      <w:r w:rsidRPr="00FC68A1">
        <w:rPr>
          <w:rFonts w:ascii="Arial" w:eastAsia="Times New Roman" w:hAnsi="Arial" w:cs="Arial"/>
          <w:b/>
          <w:bCs/>
          <w:color w:val="0D0D0D"/>
          <w:sz w:val="24"/>
          <w:szCs w:val="24"/>
          <w:u w:val="single"/>
          <w:lang w:eastAsia="en-US"/>
        </w:rPr>
        <w:t>DJ Corporation</w:t>
      </w:r>
    </w:p>
    <w:p w14:paraId="38D9DEAB" w14:textId="77777777" w:rsidR="003827DB" w:rsidRPr="00FC68A1" w:rsidRDefault="003827DB" w:rsidP="00E17259">
      <w:pPr>
        <w:pStyle w:val="ListParagraph"/>
        <w:numPr>
          <w:ilvl w:val="0"/>
          <w:numId w:val="28"/>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Reporting-unit carrying amount, including goodwill = $2,210,000</w:t>
      </w:r>
    </w:p>
    <w:p w14:paraId="19402129" w14:textId="59CD3041" w:rsidR="003827DB" w:rsidRPr="00FC68A1" w:rsidRDefault="003827DB" w:rsidP="00E17259">
      <w:pPr>
        <w:pStyle w:val="ListParagraph"/>
        <w:numPr>
          <w:ilvl w:val="0"/>
          <w:numId w:val="28"/>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Fair </w:t>
      </w:r>
      <w:r w:rsidR="00204268"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value = $1,800,000</w:t>
      </w:r>
    </w:p>
    <w:p w14:paraId="0BB6E147" w14:textId="2D9B5D6A" w:rsidR="003827DB" w:rsidRPr="00FC68A1" w:rsidRDefault="003827DB" w:rsidP="00204268">
      <w:pPr>
        <w:pStyle w:val="ListParagraph"/>
        <w:numPr>
          <w:ilvl w:val="0"/>
          <w:numId w:val="28"/>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Excess carrying amount over </w:t>
      </w:r>
      <w:r w:rsidR="00204268" w:rsidRPr="00FC68A1">
        <w:rPr>
          <w:rFonts w:ascii="Arial" w:eastAsia="Times New Roman" w:hAnsi="Arial" w:cs="Arial"/>
          <w:color w:val="0D0D0D"/>
          <w:sz w:val="24"/>
          <w:szCs w:val="24"/>
          <w:lang w:eastAsia="en-US"/>
        </w:rPr>
        <w:t>FMV</w:t>
      </w:r>
      <w:r w:rsidRPr="00FC68A1">
        <w:rPr>
          <w:rFonts w:ascii="Arial" w:eastAsia="Times New Roman" w:hAnsi="Arial" w:cs="Arial"/>
          <w:color w:val="0D0D0D"/>
          <w:sz w:val="24"/>
          <w:szCs w:val="24"/>
          <w:lang w:eastAsia="en-US"/>
        </w:rPr>
        <w:t>:</w:t>
      </w:r>
      <w:r w:rsidR="00204268" w:rsidRPr="00FC68A1">
        <w:rPr>
          <w:rFonts w:ascii="Arial" w:eastAsia="Times New Roman" w:hAnsi="Arial" w:cs="Arial"/>
          <w:color w:val="0D0D0D"/>
          <w:sz w:val="24"/>
          <w:szCs w:val="24"/>
          <w:lang w:eastAsia="en-US"/>
        </w:rPr>
        <w:t xml:space="preserve"> </w:t>
      </w:r>
      <w:r w:rsidRPr="00FC68A1">
        <w:rPr>
          <w:rFonts w:ascii="Arial" w:eastAsia="Times New Roman" w:hAnsi="Arial" w:cs="Arial"/>
          <w:color w:val="0D0D0D"/>
          <w:sz w:val="24"/>
          <w:szCs w:val="24"/>
          <w:lang w:eastAsia="en-US"/>
        </w:rPr>
        <w:t>$2,210,000 − $1,800,000 = $410,000</w:t>
      </w:r>
    </w:p>
    <w:p w14:paraId="01ED0EA7" w14:textId="1B79B724" w:rsidR="003827DB" w:rsidRPr="00FC68A1" w:rsidRDefault="003827DB" w:rsidP="00E17259">
      <w:pPr>
        <w:pStyle w:val="ListParagraph"/>
        <w:numPr>
          <w:ilvl w:val="0"/>
          <w:numId w:val="28"/>
        </w:num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Recorded goodwill = $550,00</w:t>
      </w:r>
      <w:r w:rsidR="00204268" w:rsidRPr="00FC68A1">
        <w:rPr>
          <w:rFonts w:ascii="Arial" w:eastAsia="Times New Roman" w:hAnsi="Arial" w:cs="Arial"/>
          <w:color w:val="0D0D0D"/>
          <w:sz w:val="24"/>
          <w:szCs w:val="24"/>
          <w:lang w:eastAsia="en-US"/>
        </w:rPr>
        <w:t>0</w:t>
      </w:r>
    </w:p>
    <w:p w14:paraId="180A5F19" w14:textId="77777777" w:rsidR="00204268" w:rsidRPr="00FC68A1" w:rsidRDefault="00204268" w:rsidP="00204268">
      <w:pPr>
        <w:pStyle w:val="ListParagraph"/>
        <w:shd w:val="clear" w:color="auto" w:fill="FFFFFF"/>
        <w:spacing w:after="0" w:line="240" w:lineRule="auto"/>
        <w:jc w:val="left"/>
        <w:rPr>
          <w:rFonts w:ascii="Arial" w:eastAsia="Times New Roman" w:hAnsi="Arial" w:cs="Arial"/>
          <w:color w:val="0D0D0D"/>
          <w:sz w:val="24"/>
          <w:szCs w:val="24"/>
          <w:lang w:eastAsia="en-US"/>
        </w:rPr>
      </w:pPr>
    </w:p>
    <w:p w14:paraId="15C9F69E" w14:textId="77777777" w:rsidR="00161289" w:rsidRPr="00FC68A1" w:rsidRDefault="003827DB" w:rsidP="00161289">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Because the carrying amount exceeds fair </w:t>
      </w:r>
      <w:r w:rsidR="00161289" w:rsidRPr="00FC68A1">
        <w:rPr>
          <w:rFonts w:ascii="Arial" w:eastAsia="Times New Roman" w:hAnsi="Arial" w:cs="Arial"/>
          <w:color w:val="0D0D0D"/>
          <w:sz w:val="24"/>
          <w:szCs w:val="24"/>
          <w:lang w:eastAsia="en-US"/>
        </w:rPr>
        <w:t xml:space="preserve">market </w:t>
      </w:r>
      <w:r w:rsidRPr="00FC68A1">
        <w:rPr>
          <w:rFonts w:ascii="Arial" w:eastAsia="Times New Roman" w:hAnsi="Arial" w:cs="Arial"/>
          <w:color w:val="0D0D0D"/>
          <w:sz w:val="24"/>
          <w:szCs w:val="24"/>
          <w:lang w:eastAsia="en-US"/>
        </w:rPr>
        <w:t xml:space="preserve">value, DJ has a goodwill impairment loss </w:t>
      </w:r>
      <w:r w:rsidR="00204268" w:rsidRPr="00FC68A1">
        <w:rPr>
          <w:rFonts w:ascii="Arial" w:eastAsia="Times New Roman" w:hAnsi="Arial" w:cs="Arial"/>
          <w:color w:val="0D0D0D"/>
          <w:sz w:val="24"/>
          <w:szCs w:val="24"/>
          <w:lang w:eastAsia="en-US"/>
        </w:rPr>
        <w:t xml:space="preserve">of </w:t>
      </w:r>
      <w:r w:rsidRPr="00FC68A1">
        <w:rPr>
          <w:rFonts w:ascii="Arial" w:eastAsia="Times New Roman" w:hAnsi="Arial" w:cs="Arial"/>
          <w:color w:val="0D0D0D"/>
          <w:sz w:val="24"/>
          <w:szCs w:val="24"/>
          <w:lang w:eastAsia="en-US"/>
        </w:rPr>
        <w:t>$410,000</w:t>
      </w:r>
      <w:r w:rsidR="00204268" w:rsidRPr="00FC68A1">
        <w:rPr>
          <w:rFonts w:ascii="Arial" w:eastAsia="Times New Roman" w:hAnsi="Arial" w:cs="Arial"/>
          <w:color w:val="0D0D0D"/>
          <w:sz w:val="24"/>
          <w:szCs w:val="24"/>
          <w:lang w:eastAsia="en-US"/>
        </w:rPr>
        <w:t>.</w:t>
      </w:r>
    </w:p>
    <w:p w14:paraId="36D23400" w14:textId="0F0D031A" w:rsidR="00161289" w:rsidRPr="00FC68A1" w:rsidRDefault="00161289" w:rsidP="00161289">
      <w:pPr>
        <w:shd w:val="clear" w:color="auto" w:fill="FFFFFF"/>
        <w:spacing w:after="0" w:line="240" w:lineRule="auto"/>
        <w:jc w:val="left"/>
        <w:rPr>
          <w:rFonts w:ascii="Arial" w:eastAsia="Times New Roman" w:hAnsi="Arial" w:cs="Arial"/>
          <w:color w:val="0D0D0D"/>
          <w:sz w:val="24"/>
          <w:szCs w:val="24"/>
          <w:lang w:eastAsia="en-US"/>
        </w:rPr>
      </w:pPr>
      <w:r w:rsidRPr="00FC68A1">
        <w:rPr>
          <w:rFonts w:ascii="Arial" w:eastAsia="Times New Roman" w:hAnsi="Arial" w:cs="Arial"/>
          <w:color w:val="0D0D0D"/>
          <w:sz w:val="24"/>
          <w:szCs w:val="24"/>
          <w:lang w:eastAsia="en-US"/>
        </w:rPr>
        <w:t xml:space="preserve">The impairment loss cannot exceed the goodwill assigned to the reporting unit. ASC 350-20-35-2 (FASB, 2024). </w:t>
      </w:r>
    </w:p>
    <w:p w14:paraId="6639B0F2" w14:textId="77777777" w:rsidR="00161289" w:rsidRPr="00FC68A1" w:rsidRDefault="00161289" w:rsidP="00204268">
      <w:pPr>
        <w:shd w:val="clear" w:color="auto" w:fill="FFFFFF"/>
        <w:spacing w:after="0" w:line="240" w:lineRule="auto"/>
        <w:jc w:val="left"/>
        <w:rPr>
          <w:rFonts w:ascii="Arial" w:eastAsia="Times New Roman" w:hAnsi="Arial" w:cs="Arial"/>
          <w:color w:val="0D0D0D"/>
          <w:sz w:val="24"/>
          <w:szCs w:val="24"/>
          <w:lang w:eastAsia="en-US"/>
        </w:rPr>
      </w:pPr>
    </w:p>
    <w:p w14:paraId="112820D2" w14:textId="45B5BE6B" w:rsidR="003827DB" w:rsidRPr="00FC68A1" w:rsidRDefault="003827DB" w:rsidP="003827DB">
      <w:pPr>
        <w:spacing w:after="0" w:line="240" w:lineRule="auto"/>
        <w:jc w:val="left"/>
        <w:rPr>
          <w:rFonts w:ascii="Arial" w:eastAsia="Times New Roman" w:hAnsi="Arial" w:cs="Arial"/>
          <w:sz w:val="24"/>
          <w:szCs w:val="24"/>
          <w:lang w:eastAsia="en-US"/>
        </w:rPr>
      </w:pPr>
    </w:p>
    <w:p w14:paraId="4B68E8D8" w14:textId="77777777" w:rsidR="00483DCB" w:rsidRPr="00FC68A1" w:rsidRDefault="00483DCB" w:rsidP="00B10CCA">
      <w:pPr>
        <w:rPr>
          <w:rFonts w:ascii="Arial" w:eastAsia="Times New Roman" w:hAnsi="Arial" w:cs="Arial"/>
          <w:color w:val="0D0D0D"/>
          <w:sz w:val="24"/>
          <w:szCs w:val="24"/>
          <w:lang w:eastAsia="en-US"/>
        </w:rPr>
      </w:pPr>
    </w:p>
    <w:p w14:paraId="7178F572" w14:textId="77777777" w:rsidR="00A54545" w:rsidRPr="00FC68A1" w:rsidRDefault="00A54545" w:rsidP="00B10CCA">
      <w:pPr>
        <w:rPr>
          <w:rFonts w:ascii="Arial" w:eastAsia="Times New Roman" w:hAnsi="Arial" w:cs="Arial"/>
          <w:color w:val="0D0D0D"/>
          <w:sz w:val="24"/>
          <w:szCs w:val="24"/>
          <w:lang w:eastAsia="en-US"/>
        </w:rPr>
      </w:pPr>
    </w:p>
    <w:p w14:paraId="1C291BCD" w14:textId="77777777" w:rsidR="00A54545" w:rsidRPr="00FC68A1" w:rsidRDefault="00A54545" w:rsidP="00B10CCA">
      <w:pPr>
        <w:rPr>
          <w:rFonts w:ascii="Arial" w:eastAsia="Times New Roman" w:hAnsi="Arial" w:cs="Arial"/>
          <w:color w:val="0D0D0D"/>
          <w:sz w:val="24"/>
          <w:szCs w:val="24"/>
          <w:lang w:eastAsia="en-US"/>
        </w:rPr>
      </w:pPr>
    </w:p>
    <w:p w14:paraId="070862B4" w14:textId="77777777" w:rsidR="00A54545" w:rsidRPr="00FC68A1" w:rsidRDefault="00A54545" w:rsidP="00B10CCA">
      <w:pPr>
        <w:rPr>
          <w:rFonts w:ascii="Arial" w:eastAsia="Times New Roman" w:hAnsi="Arial" w:cs="Arial"/>
          <w:color w:val="0D0D0D"/>
          <w:sz w:val="24"/>
          <w:szCs w:val="24"/>
          <w:lang w:eastAsia="en-US"/>
        </w:rPr>
      </w:pPr>
    </w:p>
    <w:p w14:paraId="2E035BDC" w14:textId="77777777" w:rsidR="00A54545" w:rsidRPr="00FC68A1" w:rsidRDefault="00A54545" w:rsidP="00B10CCA">
      <w:pPr>
        <w:rPr>
          <w:rFonts w:ascii="Arial" w:eastAsia="Times New Roman" w:hAnsi="Arial" w:cs="Arial"/>
          <w:color w:val="0D0D0D"/>
          <w:sz w:val="24"/>
          <w:szCs w:val="24"/>
          <w:lang w:eastAsia="en-US"/>
        </w:rPr>
      </w:pPr>
    </w:p>
    <w:p w14:paraId="45000908" w14:textId="77777777" w:rsidR="00A54545" w:rsidRPr="00FC68A1" w:rsidRDefault="00A54545" w:rsidP="00B10CCA">
      <w:pPr>
        <w:rPr>
          <w:rFonts w:ascii="Arial" w:eastAsia="Times New Roman" w:hAnsi="Arial" w:cs="Arial"/>
          <w:color w:val="0D0D0D"/>
          <w:sz w:val="24"/>
          <w:szCs w:val="24"/>
          <w:lang w:eastAsia="en-US"/>
        </w:rPr>
      </w:pPr>
    </w:p>
    <w:p w14:paraId="71AC078E" w14:textId="77777777" w:rsidR="00A54545" w:rsidRPr="00FC68A1" w:rsidRDefault="00A54545" w:rsidP="00B10CCA">
      <w:pPr>
        <w:rPr>
          <w:rFonts w:ascii="Arial" w:eastAsia="Times New Roman" w:hAnsi="Arial" w:cs="Arial"/>
          <w:color w:val="0D0D0D"/>
          <w:sz w:val="24"/>
          <w:szCs w:val="24"/>
          <w:lang w:eastAsia="en-US"/>
        </w:rPr>
      </w:pPr>
    </w:p>
    <w:p w14:paraId="035A8FB1" w14:textId="77777777" w:rsidR="00A54545" w:rsidRPr="00FC68A1" w:rsidRDefault="00A54545" w:rsidP="00B10CCA">
      <w:pPr>
        <w:rPr>
          <w:rFonts w:ascii="Arial" w:eastAsia="Times New Roman" w:hAnsi="Arial" w:cs="Arial"/>
          <w:color w:val="0D0D0D"/>
          <w:sz w:val="24"/>
          <w:szCs w:val="24"/>
          <w:lang w:eastAsia="en-US"/>
        </w:rPr>
      </w:pPr>
    </w:p>
    <w:p w14:paraId="78A7AA4F" w14:textId="77777777" w:rsidR="00A54545" w:rsidRPr="00FC68A1" w:rsidRDefault="00A54545" w:rsidP="00B10CCA">
      <w:pPr>
        <w:rPr>
          <w:rFonts w:ascii="Arial" w:eastAsia="Times New Roman" w:hAnsi="Arial" w:cs="Arial"/>
          <w:color w:val="0D0D0D"/>
          <w:sz w:val="24"/>
          <w:szCs w:val="24"/>
          <w:lang w:eastAsia="en-US"/>
        </w:rPr>
      </w:pPr>
    </w:p>
    <w:p w14:paraId="7AB88356" w14:textId="77777777" w:rsidR="00A54545" w:rsidRPr="00FC68A1" w:rsidRDefault="00A54545" w:rsidP="00B10CCA">
      <w:pPr>
        <w:rPr>
          <w:rFonts w:ascii="Arial" w:eastAsia="Times New Roman" w:hAnsi="Arial" w:cs="Arial"/>
          <w:color w:val="0D0D0D"/>
          <w:sz w:val="24"/>
          <w:szCs w:val="24"/>
          <w:lang w:eastAsia="en-US"/>
        </w:rPr>
      </w:pPr>
    </w:p>
    <w:p w14:paraId="1CB60E9D" w14:textId="77777777" w:rsidR="00A54545" w:rsidRPr="00FC68A1" w:rsidRDefault="00A54545" w:rsidP="00B10CCA">
      <w:pPr>
        <w:rPr>
          <w:rFonts w:ascii="Arial" w:eastAsia="Times New Roman" w:hAnsi="Arial" w:cs="Arial"/>
          <w:color w:val="0D0D0D"/>
          <w:sz w:val="24"/>
          <w:szCs w:val="24"/>
          <w:lang w:eastAsia="en-US"/>
        </w:rPr>
      </w:pPr>
    </w:p>
    <w:p w14:paraId="04DC2E2D" w14:textId="77777777" w:rsidR="00483DCB" w:rsidRDefault="00483DCB" w:rsidP="00B10CCA">
      <w:pPr>
        <w:rPr>
          <w:rFonts w:ascii="Arial" w:eastAsia="Times New Roman" w:hAnsi="Arial" w:cs="Arial"/>
          <w:color w:val="0D0D0D"/>
          <w:sz w:val="24"/>
          <w:szCs w:val="24"/>
          <w:lang w:eastAsia="en-US"/>
        </w:rPr>
      </w:pPr>
    </w:p>
    <w:p w14:paraId="7CC62706" w14:textId="77777777" w:rsidR="007E2A36" w:rsidRDefault="007E2A36" w:rsidP="00B10CCA">
      <w:pPr>
        <w:rPr>
          <w:rFonts w:ascii="Arial" w:eastAsia="Times New Roman" w:hAnsi="Arial" w:cs="Arial"/>
          <w:color w:val="0D0D0D"/>
          <w:sz w:val="24"/>
          <w:szCs w:val="24"/>
          <w:lang w:eastAsia="en-US"/>
        </w:rPr>
      </w:pPr>
    </w:p>
    <w:p w14:paraId="5DB2A97C" w14:textId="77777777" w:rsidR="00FC68A1" w:rsidRDefault="00FC68A1" w:rsidP="00B10CCA">
      <w:pPr>
        <w:rPr>
          <w:rFonts w:ascii="Arial" w:eastAsia="Times New Roman" w:hAnsi="Arial" w:cs="Arial"/>
          <w:color w:val="0D0D0D"/>
          <w:sz w:val="24"/>
          <w:szCs w:val="24"/>
          <w:lang w:eastAsia="en-US"/>
        </w:rPr>
      </w:pPr>
    </w:p>
    <w:p w14:paraId="1D0C8A72" w14:textId="3A54AE62" w:rsidR="00B10CCA" w:rsidRPr="00FC68A1" w:rsidRDefault="00B10CCA" w:rsidP="00B10CCA">
      <w:pPr>
        <w:rPr>
          <w:rFonts w:ascii="Arial" w:hAnsi="Arial" w:cs="Arial"/>
          <w:b/>
          <w:bCs/>
          <w:sz w:val="24"/>
          <w:szCs w:val="24"/>
        </w:rPr>
      </w:pPr>
      <w:r w:rsidRPr="00FC68A1">
        <w:rPr>
          <w:rFonts w:ascii="Arial" w:hAnsi="Arial" w:cs="Arial"/>
          <w:b/>
          <w:bCs/>
          <w:sz w:val="24"/>
          <w:szCs w:val="24"/>
        </w:rPr>
        <w:t>References</w:t>
      </w:r>
    </w:p>
    <w:p w14:paraId="0527EE31" w14:textId="77777777" w:rsidR="00B10CCA" w:rsidRPr="00FC68A1" w:rsidRDefault="00B10CCA" w:rsidP="00B10CCA">
      <w:pPr>
        <w:rPr>
          <w:rFonts w:ascii="Arial" w:hAnsi="Arial" w:cs="Arial"/>
          <w:sz w:val="24"/>
          <w:szCs w:val="24"/>
        </w:rPr>
      </w:pPr>
      <w:r w:rsidRPr="00FC68A1">
        <w:rPr>
          <w:rFonts w:ascii="Arial" w:hAnsi="Arial" w:cs="Arial"/>
          <w:sz w:val="24"/>
          <w:szCs w:val="24"/>
        </w:rPr>
        <w:t xml:space="preserve">Financial Accounting Standards Board. (2014). </w:t>
      </w:r>
      <w:r w:rsidRPr="00FC68A1">
        <w:rPr>
          <w:rFonts w:ascii="Arial" w:hAnsi="Arial" w:cs="Arial"/>
          <w:i/>
          <w:iCs/>
          <w:sz w:val="24"/>
          <w:szCs w:val="24"/>
        </w:rPr>
        <w:t>Accounting Standards Update No. 2014-09: Revenue from Contracts with Customers (Topic 606).</w:t>
      </w:r>
    </w:p>
    <w:p w14:paraId="67E978CF" w14:textId="77777777" w:rsidR="00B10CCA" w:rsidRPr="00FC68A1" w:rsidRDefault="00B10CCA" w:rsidP="00B10CCA">
      <w:pPr>
        <w:rPr>
          <w:rFonts w:ascii="Arial" w:hAnsi="Arial" w:cs="Arial"/>
          <w:sz w:val="24"/>
          <w:szCs w:val="24"/>
        </w:rPr>
      </w:pPr>
      <w:r w:rsidRPr="00FC68A1">
        <w:rPr>
          <w:rFonts w:ascii="Arial" w:hAnsi="Arial" w:cs="Arial"/>
          <w:sz w:val="24"/>
          <w:szCs w:val="24"/>
        </w:rPr>
        <w:t xml:space="preserve">Financial Accounting Standards Board. (n.d.). </w:t>
      </w:r>
      <w:r w:rsidRPr="00FC68A1">
        <w:rPr>
          <w:rFonts w:ascii="Arial" w:hAnsi="Arial" w:cs="Arial"/>
          <w:i/>
          <w:iCs/>
          <w:sz w:val="24"/>
          <w:szCs w:val="24"/>
        </w:rPr>
        <w:t>Accounting Standards Codification Topic 606: Revenue from Contracts with Customers.</w:t>
      </w:r>
    </w:p>
    <w:p w14:paraId="02CC8115" w14:textId="6FD1BA06" w:rsidR="00B10CCA" w:rsidRPr="00FC68A1" w:rsidRDefault="00B10CCA" w:rsidP="00B10CCA">
      <w:pPr>
        <w:rPr>
          <w:rFonts w:ascii="Arial" w:hAnsi="Arial" w:cs="Arial"/>
          <w:sz w:val="24"/>
          <w:szCs w:val="24"/>
        </w:rPr>
      </w:pPr>
      <w:r w:rsidRPr="00FC68A1">
        <w:rPr>
          <w:rFonts w:ascii="Arial" w:hAnsi="Arial" w:cs="Arial"/>
          <w:sz w:val="24"/>
          <w:szCs w:val="24"/>
        </w:rPr>
        <w:t xml:space="preserve">Financial Accounting Standards Board. (n.d.). </w:t>
      </w:r>
      <w:r w:rsidRPr="00FC68A1">
        <w:rPr>
          <w:rFonts w:ascii="Arial" w:hAnsi="Arial" w:cs="Arial"/>
          <w:i/>
          <w:iCs/>
          <w:sz w:val="24"/>
          <w:szCs w:val="24"/>
        </w:rPr>
        <w:t>Accounting Standards Codification Topic</w:t>
      </w:r>
      <w:r w:rsidR="00204268" w:rsidRPr="00FC68A1">
        <w:rPr>
          <w:rFonts w:ascii="Arial" w:hAnsi="Arial" w:cs="Arial"/>
          <w:i/>
          <w:iCs/>
          <w:sz w:val="24"/>
          <w:szCs w:val="24"/>
        </w:rPr>
        <w:t xml:space="preserve"> </w:t>
      </w:r>
      <w:r w:rsidRPr="00FC68A1">
        <w:rPr>
          <w:rFonts w:ascii="Arial" w:hAnsi="Arial" w:cs="Arial"/>
          <w:i/>
          <w:iCs/>
          <w:sz w:val="24"/>
          <w:szCs w:val="24"/>
        </w:rPr>
        <w:t>460: Guarantees.</w:t>
      </w:r>
    </w:p>
    <w:p w14:paraId="7A80BAF9" w14:textId="77777777" w:rsidR="00B10CCA" w:rsidRPr="00FC68A1" w:rsidRDefault="00B10CCA" w:rsidP="00B10CCA">
      <w:pPr>
        <w:rPr>
          <w:rFonts w:ascii="Arial" w:hAnsi="Arial" w:cs="Arial"/>
          <w:sz w:val="24"/>
          <w:szCs w:val="24"/>
        </w:rPr>
      </w:pPr>
      <w:r w:rsidRPr="00FC68A1">
        <w:rPr>
          <w:rFonts w:ascii="Arial" w:hAnsi="Arial" w:cs="Arial"/>
          <w:sz w:val="24"/>
          <w:szCs w:val="24"/>
        </w:rPr>
        <w:t xml:space="preserve">Western Governors University. (n.d.). </w:t>
      </w:r>
      <w:r w:rsidRPr="00FC68A1">
        <w:rPr>
          <w:rFonts w:ascii="Arial" w:hAnsi="Arial" w:cs="Arial"/>
          <w:i/>
          <w:iCs/>
          <w:sz w:val="24"/>
          <w:szCs w:val="24"/>
        </w:rPr>
        <w:t>KTSB and Ramesses II Agreement.</w:t>
      </w:r>
    </w:p>
    <w:p w14:paraId="32A4ECC5" w14:textId="67E7C7AE" w:rsidR="00204268" w:rsidRPr="00FC68A1" w:rsidRDefault="00204268" w:rsidP="003827DB">
      <w:pPr>
        <w:rPr>
          <w:rFonts w:ascii="Arial" w:hAnsi="Arial" w:cs="Arial"/>
          <w:i/>
          <w:iCs/>
          <w:sz w:val="24"/>
          <w:szCs w:val="24"/>
        </w:rPr>
      </w:pPr>
      <w:r w:rsidRPr="00FC68A1">
        <w:rPr>
          <w:rFonts w:ascii="Arial" w:hAnsi="Arial" w:cs="Arial"/>
          <w:sz w:val="24"/>
          <w:szCs w:val="24"/>
        </w:rPr>
        <w:t xml:space="preserve">Financial Accounting Standards Board. (2024). Accounting Standards Codification. </w:t>
      </w:r>
      <w:r w:rsidRPr="00FC68A1">
        <w:rPr>
          <w:rFonts w:ascii="Arial" w:hAnsi="Arial" w:cs="Arial"/>
          <w:i/>
          <w:iCs/>
          <w:sz w:val="24"/>
          <w:szCs w:val="24"/>
        </w:rPr>
        <w:t>Topic 350: Intangibles – Goodwill and Other.</w:t>
      </w:r>
    </w:p>
    <w:p w14:paraId="6E5FCC8F" w14:textId="77777777" w:rsidR="003827DB" w:rsidRPr="00FC68A1" w:rsidRDefault="003827DB" w:rsidP="003827DB">
      <w:pPr>
        <w:rPr>
          <w:rFonts w:ascii="Arial" w:hAnsi="Arial" w:cs="Arial"/>
          <w:sz w:val="24"/>
          <w:szCs w:val="24"/>
        </w:rPr>
      </w:pPr>
      <w:r w:rsidRPr="00FC68A1">
        <w:rPr>
          <w:rFonts w:ascii="Arial" w:hAnsi="Arial" w:cs="Arial"/>
          <w:sz w:val="24"/>
          <w:szCs w:val="24"/>
        </w:rPr>
        <w:t>Financial Accounting Standards Board. (2024). </w:t>
      </w:r>
      <w:r w:rsidRPr="00FC68A1">
        <w:rPr>
          <w:rFonts w:ascii="Arial" w:hAnsi="Arial" w:cs="Arial"/>
          <w:i/>
          <w:iCs/>
          <w:sz w:val="24"/>
          <w:szCs w:val="24"/>
        </w:rPr>
        <w:t>Accounting Standards Codification Topic 360: Property, Plant, and Equipment.</w:t>
      </w:r>
    </w:p>
    <w:p w14:paraId="6C376FD9" w14:textId="77777777" w:rsidR="003827DB" w:rsidRPr="00FC68A1" w:rsidRDefault="003827DB" w:rsidP="003827DB">
      <w:pPr>
        <w:rPr>
          <w:rFonts w:ascii="Arial" w:hAnsi="Arial" w:cs="Arial"/>
          <w:sz w:val="24"/>
          <w:szCs w:val="24"/>
        </w:rPr>
      </w:pPr>
      <w:r w:rsidRPr="00FC68A1">
        <w:rPr>
          <w:rFonts w:ascii="Arial" w:hAnsi="Arial" w:cs="Arial"/>
          <w:sz w:val="24"/>
          <w:szCs w:val="24"/>
        </w:rPr>
        <w:t>Financial Accounting Standards Board. (2024). </w:t>
      </w:r>
      <w:r w:rsidRPr="00FC68A1">
        <w:rPr>
          <w:rFonts w:ascii="Arial" w:hAnsi="Arial" w:cs="Arial"/>
          <w:i/>
          <w:iCs/>
          <w:sz w:val="24"/>
          <w:szCs w:val="24"/>
        </w:rPr>
        <w:t>Accounting Standards Codification Topic 330: Inventory.</w:t>
      </w:r>
    </w:p>
    <w:p w14:paraId="1BA3BD86" w14:textId="77777777" w:rsidR="00204268" w:rsidRPr="00FC68A1" w:rsidRDefault="00204268" w:rsidP="00204268">
      <w:pPr>
        <w:rPr>
          <w:rFonts w:ascii="Arial" w:hAnsi="Arial" w:cs="Arial"/>
          <w:i/>
          <w:iCs/>
          <w:sz w:val="24"/>
          <w:szCs w:val="24"/>
        </w:rPr>
      </w:pPr>
      <w:r w:rsidRPr="00FC68A1">
        <w:rPr>
          <w:rFonts w:ascii="Arial" w:hAnsi="Arial" w:cs="Arial"/>
          <w:sz w:val="24"/>
          <w:szCs w:val="24"/>
        </w:rPr>
        <w:t xml:space="preserve">Western Governors University. (n.d.). </w:t>
      </w:r>
      <w:r w:rsidRPr="00FC68A1">
        <w:rPr>
          <w:rFonts w:ascii="Arial" w:hAnsi="Arial" w:cs="Arial"/>
          <w:i/>
          <w:iCs/>
          <w:sz w:val="24"/>
          <w:szCs w:val="24"/>
        </w:rPr>
        <w:t>Accounting Research and Critical Thinking course materials.</w:t>
      </w:r>
    </w:p>
    <w:p w14:paraId="68F418AC" w14:textId="77777777" w:rsidR="003827DB" w:rsidRPr="00FC68A1" w:rsidRDefault="003827DB" w:rsidP="001F3549">
      <w:pPr>
        <w:rPr>
          <w:rFonts w:ascii="Arial" w:hAnsi="Arial" w:cs="Arial"/>
          <w:sz w:val="24"/>
          <w:szCs w:val="24"/>
        </w:rPr>
      </w:pPr>
    </w:p>
    <w:sectPr w:rsidR="003827DB" w:rsidRPr="00FC68A1" w:rsidSect="00FE2AAF">
      <w:pgSz w:w="12240" w:h="15840"/>
      <w:pgMar w:top="72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E1369" w14:textId="77777777" w:rsidR="005E1563" w:rsidRDefault="005E1563" w:rsidP="001133A5">
      <w:pPr>
        <w:spacing w:after="0"/>
      </w:pPr>
      <w:r>
        <w:separator/>
      </w:r>
    </w:p>
  </w:endnote>
  <w:endnote w:type="continuationSeparator" w:id="0">
    <w:p w14:paraId="070F4F90" w14:textId="77777777" w:rsidR="005E1563" w:rsidRDefault="005E1563" w:rsidP="001133A5">
      <w:pPr>
        <w:spacing w:after="0"/>
      </w:pPr>
      <w:r>
        <w:continuationSeparator/>
      </w:r>
    </w:p>
  </w:endnote>
  <w:endnote w:type="continuationNotice" w:id="1">
    <w:p w14:paraId="581BF68F" w14:textId="77777777" w:rsidR="005E1563" w:rsidRDefault="005E15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502C" w14:textId="77777777" w:rsidR="005E1563" w:rsidRDefault="005E1563" w:rsidP="001133A5">
      <w:pPr>
        <w:spacing w:after="0"/>
      </w:pPr>
      <w:r>
        <w:separator/>
      </w:r>
    </w:p>
  </w:footnote>
  <w:footnote w:type="continuationSeparator" w:id="0">
    <w:p w14:paraId="04BC07E5" w14:textId="77777777" w:rsidR="005E1563" w:rsidRDefault="005E1563" w:rsidP="001133A5">
      <w:pPr>
        <w:spacing w:after="0"/>
      </w:pPr>
      <w:r>
        <w:continuationSeparator/>
      </w:r>
    </w:p>
  </w:footnote>
  <w:footnote w:type="continuationNotice" w:id="1">
    <w:p w14:paraId="3A5CC53D" w14:textId="77777777" w:rsidR="005E1563" w:rsidRDefault="005E156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C38"/>
    <w:multiLevelType w:val="hybridMultilevel"/>
    <w:tmpl w:val="0EC02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34095"/>
    <w:multiLevelType w:val="multilevel"/>
    <w:tmpl w:val="A0B0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24A13"/>
    <w:multiLevelType w:val="hybridMultilevel"/>
    <w:tmpl w:val="B876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643D1"/>
    <w:multiLevelType w:val="hybridMultilevel"/>
    <w:tmpl w:val="9CC4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0078D"/>
    <w:multiLevelType w:val="hybridMultilevel"/>
    <w:tmpl w:val="B882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4307D"/>
    <w:multiLevelType w:val="multilevel"/>
    <w:tmpl w:val="AF3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094B5F"/>
    <w:multiLevelType w:val="hybridMultilevel"/>
    <w:tmpl w:val="9F64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57476"/>
    <w:multiLevelType w:val="multilevel"/>
    <w:tmpl w:val="4D04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32D2E"/>
    <w:multiLevelType w:val="multilevel"/>
    <w:tmpl w:val="0064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5787F"/>
    <w:multiLevelType w:val="hybridMultilevel"/>
    <w:tmpl w:val="D9E00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E0B22"/>
    <w:multiLevelType w:val="multilevel"/>
    <w:tmpl w:val="9F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72CBA"/>
    <w:multiLevelType w:val="multilevel"/>
    <w:tmpl w:val="30C6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814B9"/>
    <w:multiLevelType w:val="multilevel"/>
    <w:tmpl w:val="6F1C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B259B9"/>
    <w:multiLevelType w:val="multilevel"/>
    <w:tmpl w:val="AF7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55F17"/>
    <w:multiLevelType w:val="multilevel"/>
    <w:tmpl w:val="6934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F30FBD"/>
    <w:multiLevelType w:val="multilevel"/>
    <w:tmpl w:val="CAE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B6250"/>
    <w:multiLevelType w:val="multilevel"/>
    <w:tmpl w:val="BE42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204F3"/>
    <w:multiLevelType w:val="multilevel"/>
    <w:tmpl w:val="3C0E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82DA4"/>
    <w:multiLevelType w:val="hybridMultilevel"/>
    <w:tmpl w:val="711C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9555F"/>
    <w:multiLevelType w:val="multilevel"/>
    <w:tmpl w:val="BC52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E3F3A"/>
    <w:multiLevelType w:val="hybridMultilevel"/>
    <w:tmpl w:val="8F2E4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F5293"/>
    <w:multiLevelType w:val="multilevel"/>
    <w:tmpl w:val="1388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257853"/>
    <w:multiLevelType w:val="multilevel"/>
    <w:tmpl w:val="9058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CA5B63"/>
    <w:multiLevelType w:val="multilevel"/>
    <w:tmpl w:val="4900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0F6A08"/>
    <w:multiLevelType w:val="multilevel"/>
    <w:tmpl w:val="F7FE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E0DEB"/>
    <w:multiLevelType w:val="hybridMultilevel"/>
    <w:tmpl w:val="58F2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05480"/>
    <w:multiLevelType w:val="hybridMultilevel"/>
    <w:tmpl w:val="087E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08512F"/>
    <w:multiLevelType w:val="multilevel"/>
    <w:tmpl w:val="8DE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19046">
    <w:abstractNumId w:val="7"/>
  </w:num>
  <w:num w:numId="2" w16cid:durableId="1204513466">
    <w:abstractNumId w:val="8"/>
  </w:num>
  <w:num w:numId="3" w16cid:durableId="2090422434">
    <w:abstractNumId w:val="16"/>
  </w:num>
  <w:num w:numId="4" w16cid:durableId="700741427">
    <w:abstractNumId w:val="11"/>
  </w:num>
  <w:num w:numId="5" w16cid:durableId="1607807567">
    <w:abstractNumId w:val="12"/>
  </w:num>
  <w:num w:numId="6" w16cid:durableId="988703942">
    <w:abstractNumId w:val="13"/>
  </w:num>
  <w:num w:numId="7" w16cid:durableId="284040066">
    <w:abstractNumId w:val="17"/>
  </w:num>
  <w:num w:numId="8" w16cid:durableId="2037659850">
    <w:abstractNumId w:val="27"/>
  </w:num>
  <w:num w:numId="9" w16cid:durableId="2079286201">
    <w:abstractNumId w:val="22"/>
  </w:num>
  <w:num w:numId="10" w16cid:durableId="716659115">
    <w:abstractNumId w:val="5"/>
  </w:num>
  <w:num w:numId="11" w16cid:durableId="164328639">
    <w:abstractNumId w:val="4"/>
  </w:num>
  <w:num w:numId="12" w16cid:durableId="872310126">
    <w:abstractNumId w:val="25"/>
  </w:num>
  <w:num w:numId="13" w16cid:durableId="836772682">
    <w:abstractNumId w:val="26"/>
  </w:num>
  <w:num w:numId="14" w16cid:durableId="1224441630">
    <w:abstractNumId w:val="6"/>
  </w:num>
  <w:num w:numId="15" w16cid:durableId="1643467080">
    <w:abstractNumId w:val="21"/>
  </w:num>
  <w:num w:numId="16" w16cid:durableId="1403409605">
    <w:abstractNumId w:val="1"/>
  </w:num>
  <w:num w:numId="17" w16cid:durableId="164172600">
    <w:abstractNumId w:val="19"/>
  </w:num>
  <w:num w:numId="18" w16cid:durableId="1123383071">
    <w:abstractNumId w:val="23"/>
  </w:num>
  <w:num w:numId="19" w16cid:durableId="1945653709">
    <w:abstractNumId w:val="14"/>
  </w:num>
  <w:num w:numId="20" w16cid:durableId="1242370023">
    <w:abstractNumId w:val="24"/>
  </w:num>
  <w:num w:numId="21" w16cid:durableId="1756853756">
    <w:abstractNumId w:val="15"/>
  </w:num>
  <w:num w:numId="22" w16cid:durableId="1623611695">
    <w:abstractNumId w:val="10"/>
  </w:num>
  <w:num w:numId="23" w16cid:durableId="1052731519">
    <w:abstractNumId w:val="9"/>
  </w:num>
  <w:num w:numId="24" w16cid:durableId="1891921473">
    <w:abstractNumId w:val="2"/>
  </w:num>
  <w:num w:numId="25" w16cid:durableId="487593287">
    <w:abstractNumId w:val="3"/>
  </w:num>
  <w:num w:numId="26" w16cid:durableId="950747827">
    <w:abstractNumId w:val="0"/>
  </w:num>
  <w:num w:numId="27" w16cid:durableId="1385442982">
    <w:abstractNumId w:val="20"/>
  </w:num>
  <w:num w:numId="28" w16cid:durableId="11665576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73F"/>
    <w:rsid w:val="00011E30"/>
    <w:rsid w:val="00017B19"/>
    <w:rsid w:val="00075CE9"/>
    <w:rsid w:val="000B2583"/>
    <w:rsid w:val="001133A5"/>
    <w:rsid w:val="00113436"/>
    <w:rsid w:val="00123B68"/>
    <w:rsid w:val="00153B07"/>
    <w:rsid w:val="00161289"/>
    <w:rsid w:val="00161551"/>
    <w:rsid w:val="00165562"/>
    <w:rsid w:val="0018270C"/>
    <w:rsid w:val="001925A6"/>
    <w:rsid w:val="001C5367"/>
    <w:rsid w:val="001E0EDD"/>
    <w:rsid w:val="001F3549"/>
    <w:rsid w:val="00204268"/>
    <w:rsid w:val="0020573F"/>
    <w:rsid w:val="00207E06"/>
    <w:rsid w:val="00220902"/>
    <w:rsid w:val="00227C89"/>
    <w:rsid w:val="00267CD6"/>
    <w:rsid w:val="00323199"/>
    <w:rsid w:val="00335413"/>
    <w:rsid w:val="00340417"/>
    <w:rsid w:val="003456F5"/>
    <w:rsid w:val="003471E8"/>
    <w:rsid w:val="0036100B"/>
    <w:rsid w:val="003666D6"/>
    <w:rsid w:val="00367222"/>
    <w:rsid w:val="00375D9E"/>
    <w:rsid w:val="003827DB"/>
    <w:rsid w:val="003A3642"/>
    <w:rsid w:val="003A5B80"/>
    <w:rsid w:val="003D70D2"/>
    <w:rsid w:val="00404B62"/>
    <w:rsid w:val="004650B2"/>
    <w:rsid w:val="00483DCB"/>
    <w:rsid w:val="004B3295"/>
    <w:rsid w:val="00523CB1"/>
    <w:rsid w:val="00580B81"/>
    <w:rsid w:val="00596519"/>
    <w:rsid w:val="005E1563"/>
    <w:rsid w:val="006009F5"/>
    <w:rsid w:val="00620628"/>
    <w:rsid w:val="006A6B00"/>
    <w:rsid w:val="006D7A6C"/>
    <w:rsid w:val="007061DB"/>
    <w:rsid w:val="00711B74"/>
    <w:rsid w:val="007120F1"/>
    <w:rsid w:val="00780633"/>
    <w:rsid w:val="007E2A36"/>
    <w:rsid w:val="00836563"/>
    <w:rsid w:val="00880210"/>
    <w:rsid w:val="0089516C"/>
    <w:rsid w:val="009006C9"/>
    <w:rsid w:val="00931E5E"/>
    <w:rsid w:val="009C613C"/>
    <w:rsid w:val="009D5C92"/>
    <w:rsid w:val="009F659F"/>
    <w:rsid w:val="00A54545"/>
    <w:rsid w:val="00A66CA2"/>
    <w:rsid w:val="00AC7417"/>
    <w:rsid w:val="00AF0ED8"/>
    <w:rsid w:val="00B10CCA"/>
    <w:rsid w:val="00B16BAA"/>
    <w:rsid w:val="00B24126"/>
    <w:rsid w:val="00B37731"/>
    <w:rsid w:val="00B94968"/>
    <w:rsid w:val="00DB6068"/>
    <w:rsid w:val="00DB739F"/>
    <w:rsid w:val="00E17259"/>
    <w:rsid w:val="00E6024C"/>
    <w:rsid w:val="00E645BC"/>
    <w:rsid w:val="00F0624D"/>
    <w:rsid w:val="00F27538"/>
    <w:rsid w:val="00F34678"/>
    <w:rsid w:val="00F60A8E"/>
    <w:rsid w:val="00F765FC"/>
    <w:rsid w:val="00F7682A"/>
    <w:rsid w:val="00F82670"/>
    <w:rsid w:val="00F93BD3"/>
    <w:rsid w:val="00FB4EE1"/>
    <w:rsid w:val="00FC68A1"/>
    <w:rsid w:val="00FE2AAF"/>
    <w:rsid w:val="08BDFAFC"/>
    <w:rsid w:val="3097A10A"/>
    <w:rsid w:val="31544962"/>
    <w:rsid w:val="3456165E"/>
    <w:rsid w:val="39A21473"/>
    <w:rsid w:val="451D4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499B3"/>
  <w15:chartTrackingRefBased/>
  <w15:docId w15:val="{9A291641-277E-49BE-A188-C038AA78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45"/>
  </w:style>
  <w:style w:type="paragraph" w:styleId="Heading1">
    <w:name w:val="heading 1"/>
    <w:basedOn w:val="Normal"/>
    <w:next w:val="Normal"/>
    <w:link w:val="Heading1Char"/>
    <w:uiPriority w:val="9"/>
    <w:qFormat/>
    <w:rsid w:val="00B10CC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B10CCA"/>
    <w:pPr>
      <w:spacing w:after="0"/>
      <w:jc w:val="left"/>
      <w:outlineLvl w:val="1"/>
    </w:pPr>
    <w:rPr>
      <w:smallCaps/>
      <w:spacing w:val="5"/>
      <w:sz w:val="28"/>
      <w:szCs w:val="28"/>
    </w:rPr>
  </w:style>
  <w:style w:type="paragraph" w:styleId="Heading3">
    <w:name w:val="heading 3"/>
    <w:aliases w:val="Paragraph"/>
    <w:basedOn w:val="Normal"/>
    <w:next w:val="Normal"/>
    <w:link w:val="Heading3Char"/>
    <w:uiPriority w:val="9"/>
    <w:semiHidden/>
    <w:unhideWhenUsed/>
    <w:qFormat/>
    <w:rsid w:val="00B10CC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10CCA"/>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B10CCA"/>
    <w:pPr>
      <w:spacing w:after="0"/>
      <w:jc w:val="left"/>
      <w:outlineLvl w:val="4"/>
    </w:pPr>
    <w:rPr>
      <w:smallCaps/>
      <w:color w:val="1C2631" w:themeColor="accent6" w:themeShade="BF"/>
      <w:spacing w:val="10"/>
      <w:sz w:val="22"/>
      <w:szCs w:val="22"/>
    </w:rPr>
  </w:style>
  <w:style w:type="paragraph" w:styleId="Heading6">
    <w:name w:val="heading 6"/>
    <w:basedOn w:val="Normal"/>
    <w:next w:val="Normal"/>
    <w:link w:val="Heading6Char"/>
    <w:uiPriority w:val="9"/>
    <w:semiHidden/>
    <w:unhideWhenUsed/>
    <w:qFormat/>
    <w:rsid w:val="00B10CCA"/>
    <w:pPr>
      <w:spacing w:after="0"/>
      <w:jc w:val="left"/>
      <w:outlineLvl w:val="5"/>
    </w:pPr>
    <w:rPr>
      <w:smallCaps/>
      <w:color w:val="263343" w:themeColor="accent6"/>
      <w:spacing w:val="5"/>
      <w:sz w:val="22"/>
      <w:szCs w:val="22"/>
    </w:rPr>
  </w:style>
  <w:style w:type="paragraph" w:styleId="Heading7">
    <w:name w:val="heading 7"/>
    <w:basedOn w:val="Normal"/>
    <w:next w:val="Normal"/>
    <w:link w:val="Heading7Char"/>
    <w:uiPriority w:val="9"/>
    <w:semiHidden/>
    <w:unhideWhenUsed/>
    <w:qFormat/>
    <w:rsid w:val="00B10CCA"/>
    <w:pPr>
      <w:spacing w:after="0"/>
      <w:jc w:val="left"/>
      <w:outlineLvl w:val="6"/>
    </w:pPr>
    <w:rPr>
      <w:b/>
      <w:bCs/>
      <w:smallCaps/>
      <w:color w:val="263343" w:themeColor="accent6"/>
      <w:spacing w:val="10"/>
    </w:rPr>
  </w:style>
  <w:style w:type="paragraph" w:styleId="Heading8">
    <w:name w:val="heading 8"/>
    <w:basedOn w:val="Normal"/>
    <w:next w:val="Normal"/>
    <w:link w:val="Heading8Char"/>
    <w:uiPriority w:val="9"/>
    <w:semiHidden/>
    <w:unhideWhenUsed/>
    <w:qFormat/>
    <w:rsid w:val="00B10CCA"/>
    <w:pPr>
      <w:spacing w:after="0"/>
      <w:jc w:val="left"/>
      <w:outlineLvl w:val="7"/>
    </w:pPr>
    <w:rPr>
      <w:b/>
      <w:bCs/>
      <w:i/>
      <w:iCs/>
      <w:smallCaps/>
      <w:color w:val="1C2631" w:themeColor="accent6" w:themeShade="BF"/>
    </w:rPr>
  </w:style>
  <w:style w:type="paragraph" w:styleId="Heading9">
    <w:name w:val="heading 9"/>
    <w:basedOn w:val="Normal"/>
    <w:next w:val="Normal"/>
    <w:link w:val="Heading9Char"/>
    <w:uiPriority w:val="9"/>
    <w:semiHidden/>
    <w:unhideWhenUsed/>
    <w:qFormat/>
    <w:rsid w:val="00B10CCA"/>
    <w:pPr>
      <w:spacing w:after="0"/>
      <w:jc w:val="left"/>
      <w:outlineLvl w:val="8"/>
    </w:pPr>
    <w:rPr>
      <w:b/>
      <w:bCs/>
      <w:i/>
      <w:iCs/>
      <w:smallCaps/>
      <w:color w:val="131921"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CCA"/>
    <w:rPr>
      <w:smallCaps/>
      <w:spacing w:val="5"/>
      <w:sz w:val="32"/>
      <w:szCs w:val="32"/>
    </w:rPr>
  </w:style>
  <w:style w:type="character" w:customStyle="1" w:styleId="Heading2Char">
    <w:name w:val="Heading 2 Char"/>
    <w:basedOn w:val="DefaultParagraphFont"/>
    <w:link w:val="Heading2"/>
    <w:uiPriority w:val="9"/>
    <w:semiHidden/>
    <w:rsid w:val="00B10CCA"/>
    <w:rPr>
      <w:smallCaps/>
      <w:spacing w:val="5"/>
      <w:sz w:val="28"/>
      <w:szCs w:val="28"/>
    </w:rPr>
  </w:style>
  <w:style w:type="character" w:customStyle="1" w:styleId="Heading3Char">
    <w:name w:val="Heading 3 Char"/>
    <w:aliases w:val="Paragraph Char"/>
    <w:basedOn w:val="DefaultParagraphFont"/>
    <w:link w:val="Heading3"/>
    <w:uiPriority w:val="9"/>
    <w:semiHidden/>
    <w:rsid w:val="00B10CCA"/>
    <w:rPr>
      <w:smallCaps/>
      <w:spacing w:val="5"/>
      <w:sz w:val="24"/>
      <w:szCs w:val="24"/>
    </w:rPr>
  </w:style>
  <w:style w:type="character" w:customStyle="1" w:styleId="Heading4Char">
    <w:name w:val="Heading 4 Char"/>
    <w:basedOn w:val="DefaultParagraphFont"/>
    <w:link w:val="Heading4"/>
    <w:uiPriority w:val="9"/>
    <w:semiHidden/>
    <w:rsid w:val="00B10CCA"/>
    <w:rPr>
      <w:i/>
      <w:iCs/>
      <w:smallCaps/>
      <w:spacing w:val="10"/>
      <w:sz w:val="22"/>
      <w:szCs w:val="22"/>
    </w:rPr>
  </w:style>
  <w:style w:type="character" w:customStyle="1" w:styleId="Heading5Char">
    <w:name w:val="Heading 5 Char"/>
    <w:basedOn w:val="DefaultParagraphFont"/>
    <w:link w:val="Heading5"/>
    <w:uiPriority w:val="9"/>
    <w:semiHidden/>
    <w:rsid w:val="00B10CCA"/>
    <w:rPr>
      <w:smallCaps/>
      <w:color w:val="1C2631" w:themeColor="accent6" w:themeShade="BF"/>
      <w:spacing w:val="10"/>
      <w:sz w:val="22"/>
      <w:szCs w:val="22"/>
    </w:rPr>
  </w:style>
  <w:style w:type="character" w:customStyle="1" w:styleId="Heading6Char">
    <w:name w:val="Heading 6 Char"/>
    <w:basedOn w:val="DefaultParagraphFont"/>
    <w:link w:val="Heading6"/>
    <w:uiPriority w:val="9"/>
    <w:semiHidden/>
    <w:rsid w:val="00B10CCA"/>
    <w:rPr>
      <w:smallCaps/>
      <w:color w:val="263343" w:themeColor="accent6"/>
      <w:spacing w:val="5"/>
      <w:sz w:val="22"/>
      <w:szCs w:val="22"/>
    </w:rPr>
  </w:style>
  <w:style w:type="character" w:customStyle="1" w:styleId="Heading7Char">
    <w:name w:val="Heading 7 Char"/>
    <w:basedOn w:val="DefaultParagraphFont"/>
    <w:link w:val="Heading7"/>
    <w:uiPriority w:val="9"/>
    <w:semiHidden/>
    <w:rsid w:val="00B10CCA"/>
    <w:rPr>
      <w:b/>
      <w:bCs/>
      <w:smallCaps/>
      <w:color w:val="263343" w:themeColor="accent6"/>
      <w:spacing w:val="10"/>
    </w:rPr>
  </w:style>
  <w:style w:type="character" w:customStyle="1" w:styleId="Heading8Char">
    <w:name w:val="Heading 8 Char"/>
    <w:basedOn w:val="DefaultParagraphFont"/>
    <w:link w:val="Heading8"/>
    <w:uiPriority w:val="9"/>
    <w:semiHidden/>
    <w:rsid w:val="00B10CCA"/>
    <w:rPr>
      <w:b/>
      <w:bCs/>
      <w:i/>
      <w:iCs/>
      <w:smallCaps/>
      <w:color w:val="1C2631" w:themeColor="accent6" w:themeShade="BF"/>
    </w:rPr>
  </w:style>
  <w:style w:type="character" w:customStyle="1" w:styleId="Heading9Char">
    <w:name w:val="Heading 9 Char"/>
    <w:basedOn w:val="DefaultParagraphFont"/>
    <w:link w:val="Heading9"/>
    <w:uiPriority w:val="9"/>
    <w:semiHidden/>
    <w:rsid w:val="00B10CCA"/>
    <w:rPr>
      <w:b/>
      <w:bCs/>
      <w:i/>
      <w:iCs/>
      <w:smallCaps/>
      <w:color w:val="131921" w:themeColor="accent6" w:themeShade="80"/>
    </w:rPr>
  </w:style>
  <w:style w:type="character" w:customStyle="1" w:styleId="TitleChar">
    <w:name w:val="Title Char"/>
    <w:basedOn w:val="DefaultParagraphFont"/>
    <w:link w:val="Title"/>
    <w:uiPriority w:val="10"/>
    <w:rsid w:val="00B10CCA"/>
    <w:rPr>
      <w:smallCaps/>
      <w:color w:val="262626" w:themeColor="text1" w:themeTint="D9"/>
      <w:sz w:val="52"/>
      <w:szCs w:val="52"/>
    </w:rPr>
  </w:style>
  <w:style w:type="paragraph" w:styleId="Title">
    <w:name w:val="Title"/>
    <w:basedOn w:val="Normal"/>
    <w:next w:val="Normal"/>
    <w:link w:val="TitleChar"/>
    <w:uiPriority w:val="10"/>
    <w:qFormat/>
    <w:rsid w:val="00B10CCA"/>
    <w:pPr>
      <w:pBdr>
        <w:top w:val="single" w:sz="8" w:space="1" w:color="263343" w:themeColor="accent6"/>
      </w:pBdr>
      <w:spacing w:after="120" w:line="240" w:lineRule="auto"/>
      <w:jc w:val="right"/>
    </w:pPr>
    <w:rPr>
      <w:smallCaps/>
      <w:color w:val="262626" w:themeColor="text1" w:themeTint="D9"/>
      <w:sz w:val="52"/>
      <w:szCs w:val="52"/>
    </w:rPr>
  </w:style>
  <w:style w:type="character" w:customStyle="1" w:styleId="SubtitleChar">
    <w:name w:val="Subtitle Char"/>
    <w:basedOn w:val="DefaultParagraphFont"/>
    <w:link w:val="Subtitle"/>
    <w:uiPriority w:val="11"/>
    <w:rsid w:val="00B10CCA"/>
    <w:rPr>
      <w:rFonts w:asciiTheme="majorHAnsi" w:eastAsiaTheme="majorEastAsia" w:hAnsiTheme="majorHAnsi" w:cstheme="majorBidi"/>
    </w:rPr>
  </w:style>
  <w:style w:type="paragraph" w:styleId="Subtitle">
    <w:name w:val="Subtitle"/>
    <w:basedOn w:val="Normal"/>
    <w:next w:val="Normal"/>
    <w:link w:val="SubtitleChar"/>
    <w:uiPriority w:val="11"/>
    <w:qFormat/>
    <w:rsid w:val="00B10CCA"/>
    <w:pPr>
      <w:spacing w:after="720" w:line="240" w:lineRule="auto"/>
      <w:jc w:val="right"/>
    </w:pPr>
    <w:rPr>
      <w:rFonts w:asciiTheme="majorHAnsi" w:eastAsiaTheme="majorEastAsia" w:hAnsiTheme="majorHAnsi" w:cstheme="majorBidi"/>
    </w:rPr>
  </w:style>
  <w:style w:type="character" w:styleId="IntenseEmphasis">
    <w:name w:val="Intense Emphasis"/>
    <w:uiPriority w:val="21"/>
    <w:qFormat/>
    <w:rsid w:val="00B10CCA"/>
    <w:rPr>
      <w:b/>
      <w:bCs/>
      <w:i/>
      <w:iCs/>
      <w:color w:val="263343" w:themeColor="accent6"/>
      <w:spacing w:val="10"/>
    </w:rPr>
  </w:style>
  <w:style w:type="character" w:customStyle="1" w:styleId="QuoteChar">
    <w:name w:val="Quote Char"/>
    <w:basedOn w:val="DefaultParagraphFont"/>
    <w:link w:val="Quote"/>
    <w:uiPriority w:val="29"/>
    <w:rsid w:val="00B10CCA"/>
    <w:rPr>
      <w:i/>
      <w:iCs/>
    </w:rPr>
  </w:style>
  <w:style w:type="paragraph" w:styleId="Quote">
    <w:name w:val="Quote"/>
    <w:basedOn w:val="Normal"/>
    <w:next w:val="Normal"/>
    <w:link w:val="QuoteChar"/>
    <w:uiPriority w:val="29"/>
    <w:qFormat/>
    <w:rsid w:val="00B10CCA"/>
    <w:rPr>
      <w:i/>
      <w:iCs/>
    </w:rPr>
  </w:style>
  <w:style w:type="character" w:customStyle="1" w:styleId="IntenseQuoteChar">
    <w:name w:val="Intense Quote Char"/>
    <w:basedOn w:val="DefaultParagraphFont"/>
    <w:link w:val="IntenseQuote"/>
    <w:uiPriority w:val="30"/>
    <w:rsid w:val="00B10CCA"/>
    <w:rPr>
      <w:b/>
      <w:bCs/>
      <w:i/>
      <w:iCs/>
    </w:rPr>
  </w:style>
  <w:style w:type="paragraph" w:styleId="IntenseQuote">
    <w:name w:val="Intense Quote"/>
    <w:basedOn w:val="Normal"/>
    <w:next w:val="Normal"/>
    <w:link w:val="IntenseQuoteChar"/>
    <w:uiPriority w:val="30"/>
    <w:qFormat/>
    <w:rsid w:val="00B10CCA"/>
    <w:pPr>
      <w:pBdr>
        <w:top w:val="single" w:sz="8" w:space="1" w:color="263343" w:themeColor="accent6"/>
      </w:pBdr>
      <w:spacing w:before="140" w:after="140"/>
      <w:ind w:left="1440" w:right="1440"/>
    </w:pPr>
    <w:rPr>
      <w:b/>
      <w:bCs/>
      <w:i/>
      <w:iCs/>
    </w:rPr>
  </w:style>
  <w:style w:type="character" w:styleId="IntenseReference">
    <w:name w:val="Intense Reference"/>
    <w:uiPriority w:val="32"/>
    <w:qFormat/>
    <w:rsid w:val="00B10CCA"/>
    <w:rPr>
      <w:b/>
      <w:bCs/>
      <w:smallCaps/>
      <w:spacing w:val="5"/>
      <w:sz w:val="22"/>
      <w:szCs w:val="22"/>
      <w:u w:val="single"/>
    </w:rPr>
  </w:style>
  <w:style w:type="paragraph" w:styleId="Footer">
    <w:name w:val="footer"/>
    <w:basedOn w:val="Normal"/>
    <w:link w:val="FooterChar"/>
    <w:uiPriority w:val="99"/>
    <w:semiHidden/>
    <w:rsid w:val="001133A5"/>
    <w:pPr>
      <w:tabs>
        <w:tab w:val="center" w:pos="4680"/>
        <w:tab w:val="right" w:pos="9360"/>
      </w:tabs>
      <w:spacing w:after="0"/>
    </w:pPr>
  </w:style>
  <w:style w:type="character" w:customStyle="1" w:styleId="FooterChar">
    <w:name w:val="Footer Char"/>
    <w:basedOn w:val="DefaultParagraphFont"/>
    <w:link w:val="Footer"/>
    <w:uiPriority w:val="99"/>
    <w:semiHidden/>
    <w:rsid w:val="001F3549"/>
    <w:rPr>
      <w:sz w:val="22"/>
    </w:rPr>
  </w:style>
  <w:style w:type="paragraph" w:styleId="Header">
    <w:name w:val="header"/>
    <w:basedOn w:val="Normal"/>
    <w:link w:val="HeaderChar"/>
    <w:uiPriority w:val="99"/>
    <w:semiHidden/>
    <w:rsid w:val="0089516C"/>
    <w:pPr>
      <w:tabs>
        <w:tab w:val="center" w:pos="4680"/>
        <w:tab w:val="right" w:pos="9360"/>
      </w:tabs>
      <w:spacing w:after="0"/>
    </w:pPr>
  </w:style>
  <w:style w:type="character" w:customStyle="1" w:styleId="HeaderChar">
    <w:name w:val="Header Char"/>
    <w:basedOn w:val="DefaultParagraphFont"/>
    <w:link w:val="Header"/>
    <w:uiPriority w:val="99"/>
    <w:semiHidden/>
    <w:rsid w:val="001F3549"/>
    <w:rPr>
      <w:sz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3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rowtext">
    <w:name w:val="Top row text"/>
    <w:basedOn w:val="Heading2"/>
    <w:rsid w:val="00011E30"/>
    <w:pPr>
      <w:tabs>
        <w:tab w:val="right" w:pos="9270"/>
      </w:tabs>
      <w:ind w:left="108"/>
    </w:pPr>
    <w:rPr>
      <w:sz w:val="16"/>
    </w:rPr>
  </w:style>
  <w:style w:type="paragraph" w:customStyle="1" w:styleId="bottomrowtext">
    <w:name w:val="bottom row text"/>
    <w:basedOn w:val="Heading2"/>
    <w:rsid w:val="003471E8"/>
    <w:pPr>
      <w:tabs>
        <w:tab w:val="left" w:pos="3996"/>
        <w:tab w:val="left" w:pos="5724"/>
      </w:tabs>
      <w:spacing w:before="4800"/>
      <w:ind w:left="108"/>
    </w:pPr>
    <w:rPr>
      <w:sz w:val="16"/>
    </w:rPr>
  </w:style>
  <w:style w:type="paragraph" w:customStyle="1" w:styleId="QuarterNumber">
    <w:name w:val="Quarter Number"/>
    <w:basedOn w:val="Heading1"/>
    <w:rsid w:val="006D7A6C"/>
    <w:pPr>
      <w:spacing w:before="4200"/>
    </w:pPr>
    <w:rPr>
      <w:b/>
      <w:bCs/>
      <w:sz w:val="96"/>
    </w:rPr>
  </w:style>
  <w:style w:type="paragraph" w:customStyle="1" w:styleId="Graphicsanchor">
    <w:name w:val="Graphics anchor"/>
    <w:basedOn w:val="Normal"/>
    <w:rsid w:val="00F765FC"/>
    <w:pPr>
      <w:spacing w:after="0"/>
    </w:pPr>
    <w:rPr>
      <w:sz w:val="4"/>
      <w:szCs w:val="4"/>
    </w:rPr>
  </w:style>
  <w:style w:type="paragraph" w:styleId="Caption">
    <w:name w:val="caption"/>
    <w:basedOn w:val="Normal"/>
    <w:next w:val="Normal"/>
    <w:uiPriority w:val="35"/>
    <w:semiHidden/>
    <w:unhideWhenUsed/>
    <w:qFormat/>
    <w:rsid w:val="00B10CCA"/>
    <w:rPr>
      <w:b/>
      <w:bCs/>
      <w:caps/>
      <w:sz w:val="16"/>
      <w:szCs w:val="16"/>
    </w:rPr>
  </w:style>
  <w:style w:type="character" w:styleId="Strong">
    <w:name w:val="Strong"/>
    <w:uiPriority w:val="22"/>
    <w:qFormat/>
    <w:rsid w:val="00B10CCA"/>
    <w:rPr>
      <w:b/>
      <w:bCs/>
      <w:color w:val="263343" w:themeColor="accent6"/>
    </w:rPr>
  </w:style>
  <w:style w:type="character" w:styleId="Emphasis">
    <w:name w:val="Emphasis"/>
    <w:uiPriority w:val="20"/>
    <w:qFormat/>
    <w:rsid w:val="00B10CCA"/>
    <w:rPr>
      <w:b/>
      <w:bCs/>
      <w:i/>
      <w:iCs/>
      <w:spacing w:val="10"/>
    </w:rPr>
  </w:style>
  <w:style w:type="paragraph" w:styleId="NoSpacing">
    <w:name w:val="No Spacing"/>
    <w:uiPriority w:val="1"/>
    <w:qFormat/>
    <w:rsid w:val="00B10CCA"/>
    <w:pPr>
      <w:spacing w:after="0" w:line="240" w:lineRule="auto"/>
    </w:pPr>
  </w:style>
  <w:style w:type="character" w:styleId="SubtleEmphasis">
    <w:name w:val="Subtle Emphasis"/>
    <w:uiPriority w:val="19"/>
    <w:qFormat/>
    <w:rsid w:val="00B10CCA"/>
    <w:rPr>
      <w:i/>
      <w:iCs/>
    </w:rPr>
  </w:style>
  <w:style w:type="character" w:styleId="SubtleReference">
    <w:name w:val="Subtle Reference"/>
    <w:uiPriority w:val="31"/>
    <w:qFormat/>
    <w:rsid w:val="00B10CCA"/>
    <w:rPr>
      <w:b/>
      <w:bCs/>
    </w:rPr>
  </w:style>
  <w:style w:type="character" w:styleId="BookTitle">
    <w:name w:val="Book Title"/>
    <w:uiPriority w:val="33"/>
    <w:qFormat/>
    <w:rsid w:val="00B10CC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10CCA"/>
    <w:pPr>
      <w:outlineLvl w:val="9"/>
    </w:pPr>
  </w:style>
  <w:style w:type="paragraph" w:styleId="ListParagraph">
    <w:name w:val="List Paragraph"/>
    <w:basedOn w:val="Normal"/>
    <w:uiPriority w:val="34"/>
    <w:qFormat/>
    <w:rsid w:val="00E6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mit\AppData\Local\Microsoft\Office\16.0\DTS\en-US%7bCDAE8984-69E7-4B53-AE29-D597F45C322E%7d\%7b562D4243-2C8E-4D20-B600-072478173806%7dec3dd16a-135c-48c2-b6ca-157476fd729b-TFf0336339-45a6-4a3e-812f-7918ef210f4f_win32.dotx" TargetMode="External"/></Relationships>
</file>

<file path=word/theme/theme1.xml><?xml version="1.0" encoding="utf-8"?>
<a:theme xmlns:a="http://schemas.openxmlformats.org/drawingml/2006/main" name="Office Theme">
  <a:themeElements>
    <a:clrScheme name="Custom 27">
      <a:dk1>
        <a:srgbClr val="000000"/>
      </a:dk1>
      <a:lt1>
        <a:srgbClr val="FFFFFF"/>
      </a:lt1>
      <a:dk2>
        <a:srgbClr val="0E2841"/>
      </a:dk2>
      <a:lt2>
        <a:srgbClr val="E8E8E8"/>
      </a:lt2>
      <a:accent1>
        <a:srgbClr val="D0C262"/>
      </a:accent1>
      <a:accent2>
        <a:srgbClr val="FEB8B8"/>
      </a:accent2>
      <a:accent3>
        <a:srgbClr val="6B2138"/>
      </a:accent3>
      <a:accent4>
        <a:srgbClr val="FC5316"/>
      </a:accent4>
      <a:accent5>
        <a:srgbClr val="EEF6FF"/>
      </a:accent5>
      <a:accent6>
        <a:srgbClr val="263343"/>
      </a:accent6>
      <a:hlink>
        <a:srgbClr val="467886"/>
      </a:hlink>
      <a:folHlink>
        <a:srgbClr val="96607D"/>
      </a:folHlink>
    </a:clrScheme>
    <a:fontScheme name="Custom 18">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14E3B4E8-21E2-4CF3-BC7B-97AB5EBF5CB9}">
  <ds:schemaRefs>
    <ds:schemaRef ds:uri="http://schemas.openxmlformats.org/officeDocument/2006/bibliography"/>
  </ds:schemaRefs>
</ds:datastoreItem>
</file>

<file path=customXml/itemProps2.xml><?xml version="1.0" encoding="utf-8"?>
<ds:datastoreItem xmlns:ds="http://schemas.openxmlformats.org/officeDocument/2006/customXml" ds:itemID="{AD679BCE-5B80-4980-993B-17387E3C7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330ED-517D-44B3-A43E-15DF31B51B6D}">
  <ds:schemaRefs>
    <ds:schemaRef ds:uri="http://schemas.microsoft.com/sharepoint/v3/contenttype/forms"/>
  </ds:schemaRefs>
</ds:datastoreItem>
</file>

<file path=customXml/itemProps4.xml><?xml version="1.0" encoding="utf-8"?>
<ds:datastoreItem xmlns:ds="http://schemas.openxmlformats.org/officeDocument/2006/customXml" ds:itemID="{C2D76B08-176C-4BDB-90D6-0C430F180BB8}">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{562D4243-2C8E-4D20-B600-072478173806}ec3dd16a-135c-48c2-b6ca-157476fd729b-TFf0336339-45a6-4a3e-812f-7918ef210f4f_win32</Template>
  <TotalTime>19</TotalTime>
  <Pages>10</Pages>
  <Words>2593</Words>
  <Characters>14786</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    Prepared by: Evelyn Smith	August 8, 2026</vt:lpstr>
      <vt:lpstr>task 2</vt:lpstr>
      <vt:lpstr>    Submitted to: Clint Dillard, cpa, cgma	</vt:lpstr>
      <vt:lpstr>Part A: Research on ASC 350 Goodwill Impairment Standards</vt:lpstr>
      <vt:lpstr>    A1. The company has similar economic characteristics</vt:lpstr>
      <vt:lpstr>        Authoritative Guidance</vt:lpstr>
      <vt:lpstr>    A2. The company does not have similar economic characteristics</vt:lpstr>
      <vt:lpstr>        Authoritative Guidance</vt:lpstr>
      <vt:lpstr>    A3. Public Company</vt:lpstr>
      <vt:lpstr>        Authoritative Guidance</vt:lpstr>
      <vt:lpstr>    A4. Private Company</vt:lpstr>
      <vt:lpstr>        Authoritative Guidance</vt:lpstr>
      <vt:lpstr>    A5. Company Elects the Accounting Alternative</vt:lpstr>
      <vt:lpstr>        Authoritative Guidance</vt:lpstr>
      <vt:lpstr>    A6. Company Does Not Elect the Accounting Alternative</vt:lpstr>
      <vt:lpstr>        Authoritative Guidance</vt:lpstr>
      <vt:lpstr>    A7. Triggering Event Occurs</vt:lpstr>
      <vt:lpstr>        Authoritative Guidance</vt:lpstr>
      <vt:lpstr>    A8. No Triggering Event Occurs</vt:lpstr>
      <vt:lpstr>        Authoritative Guidance</vt:lpstr>
      <vt:lpstr>    Part B: AMMRC Inc. Goodwill Impairment</vt:lpstr>
      <vt:lpstr>    </vt:lpstr>
      <vt:lpstr>        Similar Economic Characteristics</vt:lpstr>
      <vt:lpstr>        </vt:lpstr>
      <vt:lpstr>        Public or Private Company</vt:lpstr>
      <vt:lpstr>        </vt:lpstr>
      <vt:lpstr>        Election of Accounting Alternative</vt:lpstr>
      <vt:lpstr>        </vt:lpstr>
      <vt:lpstr>        Triggering Event</vt:lpstr>
      <vt:lpstr>        </vt:lpstr>
      <vt:lpstr/>
      <vt:lpstr>Part B1 – Goodwill Impairment Loss</vt:lpstr>
      <vt:lpstr/>
      <vt:lpstr>    1: Fixed-Asset Impairment</vt:lpstr>
      <vt:lpstr>    </vt:lpstr>
      <vt:lpstr>    Source: D252 Task 2 Relevant Financial Data.xlsx</vt:lpstr>
      <vt:lpstr>    /</vt:lpstr>
      <vt:lpstr>    Source: D252 Task 2 Relevant Financial Data.xlsx</vt:lpstr>
      <vt:lpstr>    2: Inventory Impairment</vt:lpstr>
      <vt:lpstr>    </vt:lpstr>
      <vt:lpstr>        Source: D252 Task 2 Relevant Financial Data.xlsx</vt:lpstr>
      <vt:lpstr>        /</vt:lpstr>
      <vt:lpstr>        Source: D252 Task 2 Relevant Financial Data.xlsx</vt:lpstr>
      <vt:lpstr>    3: Determine the Adjusted Carrying Amount of Each Reporting Unit</vt:lpstr>
      <vt:lpstr>    </vt:lpstr>
      <vt:lpstr>        TL Corporation</vt:lpstr>
      <vt:lpstr>        DJ Corporation</vt:lpstr>
      <vt:lpstr>    </vt:lpstr>
      <vt:lpstr>    4: Compare Carrying Amount with Fair Market Value</vt:lpstr>
      <vt:lpstr>    </vt:lpstr>
      <vt:lpstr>        TL Corporation</vt:lpstr>
      <vt:lpstr>        DJ Corporation</vt:lpstr>
    </vt:vector>
  </TitlesOfParts>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Smith</dc:creator>
  <cp:keywords/>
  <dc:description/>
  <cp:lastModifiedBy>Edrozo, Ma Arabela</cp:lastModifiedBy>
  <cp:revision>7</cp:revision>
  <cp:lastPrinted>2026-08-08T19:41:00Z</cp:lastPrinted>
  <dcterms:created xsi:type="dcterms:W3CDTF">2026-08-09T00:09:00Z</dcterms:created>
  <dcterms:modified xsi:type="dcterms:W3CDTF">2026-08-09T00:33:00Z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GrammarlyDocumentId">
    <vt:lpwstr>8420a187-2fd9-4bde-be52-152b437f3e5b</vt:lpwstr>
  </property>
</Properties>
</file>