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33BE8FD" w14:textId="77777777" w:rsidR="00F765FC" w:rsidRPr="00F765FC" w:rsidRDefault="00F765FC" w:rsidP="00F765FC">
      <w:pPr>
        <w:pStyle w:val="Graphicsanchor"/>
      </w:pPr>
      <w:r>
        <w:rPr>
          <w:noProof/>
        </w:rPr>
        <mc:AlternateContent>
          <mc:Choice Requires="wps">
            <w:drawing>
              <wp:anchor distT="0" distB="0" distL="114300" distR="114300" simplePos="0" relativeHeight="251659264" behindDoc="1" locked="1" layoutInCell="1" allowOverlap="1" wp14:anchorId="0F5E2E89" wp14:editId="2E2AECB2">
                <wp:simplePos x="0" y="0"/>
                <wp:positionH relativeFrom="page">
                  <wp:posOffset>0</wp:posOffset>
                </wp:positionH>
                <wp:positionV relativeFrom="paragraph">
                  <wp:posOffset>-914400</wp:posOffset>
                </wp:positionV>
                <wp:extent cx="9677400" cy="10915650"/>
                <wp:effectExtent l="0" t="0" r="0" b="0"/>
                <wp:wrapNone/>
                <wp:docPr id="1123754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77400" cy="10915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3DA2C" id="Rectangle 2" o:spid="_x0000_s1026" alt="&quot;&quot;" style="position:absolute;margin-left:0;margin-top:-1in;width:762pt;height:8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" fillcolor="white [3212]" stroked="f" strokeweight="1pt">
                <w10:wrap anchorx="page"/>
                <w10:anchorlock/>
              </v:rect>
            </w:pict>
          </mc:Fallback>
        </mc:AlternateContent>
      </w:r>
    </w:p>
    <w:p w14:paraId="0C660FE0" w14:textId="43EC564C" w:rsidR="006D7A6C" w:rsidRPr="006D7A6C" w:rsidRDefault="006D7A6C" w:rsidP="00011E30">
      <w:pPr>
        <w:pStyle w:val="Toprowtext"/>
      </w:pPr>
      <w:r w:rsidRPr="00FE2AAF">
        <w:rPr>
          <w:rFonts w:ascii="Arial" w:hAnsi="Arial" w:cs="Arial"/>
          <w:sz w:val="24"/>
          <w:szCs w:val="24"/>
        </w:rPr>
        <w:t>Prepared b</w:t>
      </w:r>
      <w:r w:rsidR="0020573F" w:rsidRPr="00FE2AAF">
        <w:rPr>
          <w:rFonts w:ascii="Arial" w:hAnsi="Arial" w:cs="Arial"/>
          <w:sz w:val="24"/>
          <w:szCs w:val="24"/>
        </w:rPr>
        <w:t>y</w:t>
      </w:r>
      <w:r w:rsidR="00B10CCA" w:rsidRPr="00FE2AAF">
        <w:rPr>
          <w:rFonts w:ascii="Arial" w:hAnsi="Arial" w:cs="Arial"/>
          <w:sz w:val="24"/>
          <w:szCs w:val="24"/>
        </w:rPr>
        <w:t>:</w:t>
      </w:r>
      <w:r w:rsidR="0020573F" w:rsidRPr="00FE2AAF">
        <w:rPr>
          <w:rFonts w:ascii="Arial" w:hAnsi="Arial" w:cs="Arial"/>
          <w:sz w:val="24"/>
          <w:szCs w:val="24"/>
        </w:rPr>
        <w:t xml:space="preserve"> </w:t>
      </w:r>
      <w:r w:rsidR="00B10CCA" w:rsidRPr="00FE2AAF">
        <w:rPr>
          <w:rFonts w:ascii="Arial" w:hAnsi="Arial" w:cs="Arial"/>
          <w:sz w:val="24"/>
          <w:szCs w:val="24"/>
        </w:rPr>
        <w:t>Evelyn Smith</w:t>
      </w:r>
      <w:r w:rsidRPr="006D7A6C">
        <w:tab/>
      </w:r>
      <w:r w:rsidR="0020573F" w:rsidRPr="00FE2AAF">
        <w:rPr>
          <w:rFonts w:ascii="Arial" w:hAnsi="Arial" w:cs="Arial"/>
          <w:sz w:val="24"/>
          <w:szCs w:val="24"/>
        </w:rPr>
        <w:t>August 8, 2026</w:t>
      </w:r>
    </w:p>
    <w:p w14:paraId="427BAF4F" w14:textId="7F41B17D" w:rsidR="006D7A6C" w:rsidRPr="00FE2AAF" w:rsidRDefault="0020573F" w:rsidP="003471E8">
      <w:pPr>
        <w:pStyle w:val="QuarterNumber"/>
        <w:rPr>
          <w:rFonts w:ascii="Arial" w:hAnsi="Arial" w:cs="Arial"/>
        </w:rPr>
      </w:pPr>
      <w:r w:rsidRPr="00FE2AAF">
        <w:rPr>
          <w:rFonts w:ascii="Arial" w:hAnsi="Arial" w:cs="Arial"/>
        </w:rPr>
        <w:t>task 1</w:t>
      </w:r>
    </w:p>
    <w:p w14:paraId="1E01469D" w14:textId="5B49E891" w:rsidR="006D7A6C" w:rsidRPr="00FE2AAF" w:rsidRDefault="0020573F" w:rsidP="003471E8">
      <w:pPr>
        <w:pStyle w:val="Title"/>
        <w:rPr>
          <w:rFonts w:ascii="Arial" w:hAnsi="Arial" w:cs="Arial"/>
        </w:rPr>
      </w:pPr>
      <w:r w:rsidRPr="00FE2AAF">
        <w:rPr>
          <w:rFonts w:ascii="Arial" w:hAnsi="Arial" w:cs="Arial"/>
        </w:rPr>
        <w:t>REVENUE RECOGNITION</w:t>
      </w:r>
    </w:p>
    <w:p w14:paraId="31FEB181" w14:textId="3A979D25" w:rsidR="006D7A6C" w:rsidRPr="00FE2AAF" w:rsidRDefault="0020573F" w:rsidP="003471E8">
      <w:pPr>
        <w:pStyle w:val="Subtitle"/>
        <w:rPr>
          <w:rFonts w:ascii="Arial" w:hAnsi="Arial" w:cs="Arial"/>
        </w:rPr>
      </w:pPr>
      <w:r w:rsidRPr="00FE2AAF">
        <w:rPr>
          <w:rFonts w:ascii="Arial" w:hAnsi="Arial" w:cs="Arial"/>
        </w:rPr>
        <w:t>ACCOUNTING RESEARCH AND CRITICAL THINKING – D252</w:t>
      </w:r>
    </w:p>
    <w:p w14:paraId="12EC6BBF" w14:textId="682B2366" w:rsidR="006D7A6C" w:rsidRPr="00FE2AAF" w:rsidRDefault="0020573F" w:rsidP="00011E30">
      <w:pPr>
        <w:pStyle w:val="bottomrowtext"/>
        <w:spacing w:before="4440"/>
        <w:rPr>
          <w:rFonts w:ascii="Arial" w:hAnsi="Arial" w:cs="Arial"/>
          <w:sz w:val="24"/>
          <w:szCs w:val="24"/>
        </w:rPr>
      </w:pPr>
      <w:r w:rsidRPr="00FE2AAF">
        <w:rPr>
          <w:rFonts w:ascii="Arial" w:hAnsi="Arial" w:cs="Arial"/>
          <w:sz w:val="24"/>
          <w:szCs w:val="24"/>
        </w:rPr>
        <w:t>Submitted to: Clint Dillard, cpa, cgma</w:t>
      </w:r>
      <w:r w:rsidR="006D7A6C" w:rsidRPr="00FE2AAF">
        <w:rPr>
          <w:rFonts w:ascii="Arial" w:hAnsi="Arial" w:cs="Arial"/>
          <w:sz w:val="24"/>
          <w:szCs w:val="24"/>
        </w:rPr>
        <w:tab/>
      </w:r>
    </w:p>
    <w:p w14:paraId="12EE359D" w14:textId="77777777" w:rsidR="001F3549" w:rsidRDefault="001F3549" w:rsidP="001F3549"/>
    <w:p w14:paraId="578B767D" w14:textId="77777777" w:rsidR="001F3549" w:rsidRPr="001F3549" w:rsidRDefault="001F3549" w:rsidP="001F3549">
      <w:pPr>
        <w:sectPr w:rsidR="001F3549" w:rsidRPr="001F3549" w:rsidSect="00FE2AAF">
          <w:pgSz w:w="12240" w:h="15840" w:code="1"/>
          <w:pgMar w:top="1440" w:right="1440" w:bottom="1440" w:left="1440" w:header="720" w:footer="360" w:gutter="0"/>
          <w:cols w:space="720"/>
          <w:titlePg/>
          <w:docGrid w:linePitch="360"/>
        </w:sectPr>
      </w:pPr>
    </w:p>
    <w:p w14:paraId="1C4D8AEE" w14:textId="729A3145" w:rsidR="00F34678" w:rsidRPr="00F7682A" w:rsidRDefault="0020573F" w:rsidP="003471E8">
      <w:pPr>
        <w:pStyle w:val="Heading1"/>
        <w:rPr>
          <w:rFonts w:ascii="Arial" w:hAnsi="Arial" w:cs="Arial"/>
          <w:sz w:val="24"/>
          <w:szCs w:val="24"/>
        </w:rPr>
      </w:pPr>
      <w:r w:rsidRPr="00F7682A">
        <w:rPr>
          <w:rFonts w:ascii="Arial" w:hAnsi="Arial" w:cs="Arial"/>
          <w:sz w:val="24"/>
          <w:szCs w:val="24"/>
        </w:rPr>
        <w:lastRenderedPageBreak/>
        <w:t>Part A: Four Potential Accounting Issues</w:t>
      </w:r>
    </w:p>
    <w:p w14:paraId="5D830DDC" w14:textId="77777777" w:rsidR="004B3295" w:rsidRDefault="004B3295" w:rsidP="001F3549">
      <w:pPr>
        <w:rPr>
          <w:rFonts w:ascii="Arial" w:hAnsi="Arial" w:cs="Arial"/>
          <w:sz w:val="24"/>
          <w:szCs w:val="24"/>
        </w:rPr>
      </w:pPr>
    </w:p>
    <w:p w14:paraId="03FEDD1A" w14:textId="4A594398" w:rsidR="0020573F" w:rsidRPr="00F7682A" w:rsidRDefault="0020573F" w:rsidP="001F3549">
      <w:pPr>
        <w:rPr>
          <w:rFonts w:ascii="Arial" w:hAnsi="Arial" w:cs="Arial"/>
          <w:b/>
          <w:bCs/>
          <w:sz w:val="24"/>
          <w:szCs w:val="24"/>
        </w:rPr>
      </w:pPr>
      <w:r w:rsidRPr="00F7682A">
        <w:rPr>
          <w:rFonts w:ascii="Arial" w:hAnsi="Arial" w:cs="Arial"/>
          <w:b/>
          <w:bCs/>
          <w:sz w:val="24"/>
          <w:szCs w:val="24"/>
        </w:rPr>
        <w:t>Right of Return (90-day return period)</w:t>
      </w:r>
    </w:p>
    <w:p w14:paraId="6D5BEC96" w14:textId="7B78A201" w:rsidR="0020573F" w:rsidRPr="00F7682A" w:rsidRDefault="009F659F" w:rsidP="001F3549">
      <w:pPr>
        <w:rPr>
          <w:rFonts w:ascii="Arial" w:hAnsi="Arial" w:cs="Arial"/>
          <w:sz w:val="24"/>
          <w:szCs w:val="24"/>
        </w:rPr>
      </w:pPr>
      <w:r w:rsidRPr="00F7682A">
        <w:rPr>
          <w:rFonts w:ascii="Arial" w:hAnsi="Arial" w:cs="Arial"/>
          <w:sz w:val="24"/>
          <w:szCs w:val="24"/>
        </w:rPr>
        <w:t xml:space="preserve">KTSB must evaluate the return provision because Ramesses II has the right to return unsold Model E computers within 90 days. Under ASC 606-10-32-5 and ASC 606-10-55-22 through 55-29, a right of return creates variable consideration because the amount of consideration KTSB will ultimately be entitled to receive depends on the number of computers returned. KTSB must estimate expected returns and recognize revenue only for the amount it expects to be entitled to keep. KTSB should record a refund liability for expected customer refunds and recognize an asset for the right to recover returned products, adjusted for expected recovery costs and decreases in value. Therefore, the </w:t>
      </w:r>
      <w:r w:rsidR="00F7682A">
        <w:rPr>
          <w:rFonts w:ascii="Arial" w:hAnsi="Arial" w:cs="Arial"/>
          <w:sz w:val="24"/>
          <w:szCs w:val="24"/>
        </w:rPr>
        <w:t>right of return affects both the amount and timing of revenue recognized from the sale of the computers (</w:t>
      </w:r>
      <w:r w:rsidR="0020573F" w:rsidRPr="00F7682A">
        <w:rPr>
          <w:rFonts w:ascii="Arial" w:hAnsi="Arial" w:cs="Arial"/>
          <w:sz w:val="24"/>
          <w:szCs w:val="24"/>
        </w:rPr>
        <w:t>Western Governors University, n.d., p. 1).</w:t>
      </w:r>
    </w:p>
    <w:p w14:paraId="4F77513E" w14:textId="77777777" w:rsidR="0020573F" w:rsidRPr="00F7682A" w:rsidRDefault="0020573F" w:rsidP="001F3549">
      <w:pPr>
        <w:rPr>
          <w:rFonts w:ascii="Arial" w:hAnsi="Arial" w:cs="Arial"/>
          <w:b/>
          <w:bCs/>
          <w:sz w:val="24"/>
          <w:szCs w:val="24"/>
        </w:rPr>
      </w:pPr>
      <w:r w:rsidRPr="00F7682A">
        <w:rPr>
          <w:rFonts w:ascii="Arial" w:hAnsi="Arial" w:cs="Arial"/>
          <w:b/>
          <w:bCs/>
          <w:sz w:val="24"/>
          <w:szCs w:val="24"/>
        </w:rPr>
        <w:t>Manufacturer Coupon ($100 Rebate)</w:t>
      </w:r>
    </w:p>
    <w:p w14:paraId="06D6A5DE" w14:textId="75F628DB" w:rsidR="0020573F" w:rsidRPr="00F7682A" w:rsidRDefault="00153B07" w:rsidP="001F3549">
      <w:pPr>
        <w:rPr>
          <w:rFonts w:ascii="Arial" w:hAnsi="Arial" w:cs="Arial"/>
          <w:sz w:val="24"/>
          <w:szCs w:val="24"/>
        </w:rPr>
      </w:pPr>
      <w:r w:rsidRPr="00F7682A">
        <w:rPr>
          <w:rFonts w:ascii="Arial" w:hAnsi="Arial" w:cs="Arial"/>
          <w:sz w:val="24"/>
          <w:szCs w:val="24"/>
        </w:rPr>
        <w:t>KTSB's $100 manufacturer coupon creates a potential reduction to the transaction price because KTSB is responsible for reimbursing Ramesses II for coupons redeemed by its customers. Under ASC 606, consideration payable to a customer can include coupons or vouchers and is generally accounted for as a reduction of the transaction price and, therefore, revenue, unless the payment is in exchange for a distinct good or service provided by the customer. Because KTSB will reimburse Ramesses II for coupons redeemed by customers purchasing Model E computers, KTSB must consider the expected coupon redemptions when determining the amount of revenue it expects to recognize. The coupon therefore could reduce the transaction price and the amount of revenue recognized from the computer sales. (ASC 606-10-32-25 through 32-27).</w:t>
      </w:r>
      <w:r w:rsidR="0020573F" w:rsidRPr="00F7682A">
        <w:rPr>
          <w:rFonts w:ascii="Arial" w:hAnsi="Arial" w:cs="Arial"/>
          <w:sz w:val="24"/>
          <w:szCs w:val="24"/>
        </w:rPr>
        <w:t xml:space="preserve"> (Western Governors University, n.d., p. 1).</w:t>
      </w:r>
    </w:p>
    <w:p w14:paraId="299C1449" w14:textId="77777777" w:rsidR="0020573F" w:rsidRPr="00F7682A" w:rsidRDefault="0020573F" w:rsidP="001F3549">
      <w:pPr>
        <w:rPr>
          <w:rFonts w:ascii="Arial" w:hAnsi="Arial" w:cs="Arial"/>
          <w:b/>
          <w:bCs/>
          <w:sz w:val="24"/>
          <w:szCs w:val="24"/>
        </w:rPr>
      </w:pPr>
      <w:r w:rsidRPr="00F7682A">
        <w:rPr>
          <w:rFonts w:ascii="Arial" w:hAnsi="Arial" w:cs="Arial"/>
          <w:b/>
          <w:bCs/>
          <w:sz w:val="24"/>
          <w:szCs w:val="24"/>
        </w:rPr>
        <w:t>Gift Card Commission (3%)</w:t>
      </w:r>
    </w:p>
    <w:p w14:paraId="1D63F054" w14:textId="0C741985" w:rsidR="0020573F" w:rsidRPr="00F7682A" w:rsidRDefault="00153B07" w:rsidP="001F3549">
      <w:pPr>
        <w:rPr>
          <w:rFonts w:ascii="Arial" w:hAnsi="Arial" w:cs="Arial"/>
          <w:sz w:val="24"/>
          <w:szCs w:val="24"/>
        </w:rPr>
      </w:pPr>
      <w:r w:rsidRPr="00F7682A">
        <w:rPr>
          <w:rFonts w:ascii="Arial" w:hAnsi="Arial" w:cs="Arial"/>
          <w:sz w:val="24"/>
          <w:szCs w:val="24"/>
        </w:rPr>
        <w:t>The gift card arrangement requires KTSB to evaluate the 3% commission paid to Ramesses II under ASC 606-10-32-25 through 32-27. KTSB must determine whether the commission represents consideration payable to a customer or payment for a distinct good or service provided by Ramesses II. ASC 606 generally requires consideration payable to a customer to be accounted for as a reduction of the transaction price and, therefore, revenue, unless the payment is in exchange for a distinct good or service. Because the agreement states that KTSB will pay Ramesses II a 3% commission</w:t>
      </w:r>
      <w:r w:rsidR="00F7682A">
        <w:rPr>
          <w:rFonts w:ascii="Arial" w:hAnsi="Arial" w:cs="Arial"/>
          <w:sz w:val="24"/>
          <w:szCs w:val="24"/>
        </w:rPr>
        <w:t>, and the industry-standard commission is 2.5%, KTSB must evaluate whether the commission constitutes</w:t>
      </w:r>
      <w:r w:rsidRPr="00F7682A">
        <w:rPr>
          <w:rFonts w:ascii="Arial" w:hAnsi="Arial" w:cs="Arial"/>
          <w:sz w:val="24"/>
          <w:szCs w:val="24"/>
        </w:rPr>
        <w:t xml:space="preserve"> payment for a distinct service and whether the amount paid is appropriate for that service. This determination could affect the transaction price and the amount of revenue KTSB recognizes from the arrangement</w:t>
      </w:r>
      <w:r w:rsidR="00F7682A">
        <w:rPr>
          <w:rFonts w:ascii="Arial" w:hAnsi="Arial" w:cs="Arial"/>
          <w:sz w:val="24"/>
          <w:szCs w:val="24"/>
        </w:rPr>
        <w:t xml:space="preserve"> (</w:t>
      </w:r>
      <w:r w:rsidR="0020573F" w:rsidRPr="00F7682A">
        <w:rPr>
          <w:rFonts w:ascii="Arial" w:hAnsi="Arial" w:cs="Arial"/>
          <w:sz w:val="24"/>
          <w:szCs w:val="24"/>
        </w:rPr>
        <w:t>Western Governors University, n.d., p. 1).</w:t>
      </w:r>
    </w:p>
    <w:p w14:paraId="36F3759E" w14:textId="77777777" w:rsidR="0020573F" w:rsidRPr="00F7682A" w:rsidRDefault="0020573F" w:rsidP="001F3549">
      <w:pPr>
        <w:rPr>
          <w:rFonts w:ascii="Arial" w:hAnsi="Arial" w:cs="Arial"/>
          <w:b/>
          <w:bCs/>
          <w:sz w:val="24"/>
          <w:szCs w:val="24"/>
        </w:rPr>
      </w:pPr>
      <w:r w:rsidRPr="00F7682A">
        <w:rPr>
          <w:rFonts w:ascii="Arial" w:hAnsi="Arial" w:cs="Arial"/>
          <w:b/>
          <w:bCs/>
          <w:sz w:val="24"/>
          <w:szCs w:val="24"/>
        </w:rPr>
        <w:t>Warranty, Refund, and Exchange Program</w:t>
      </w:r>
    </w:p>
    <w:p w14:paraId="6C7F1772" w14:textId="2EE184CD" w:rsidR="0020573F" w:rsidRPr="00F7682A" w:rsidRDefault="00153B07" w:rsidP="001F3549">
      <w:pPr>
        <w:rPr>
          <w:rFonts w:ascii="Arial" w:hAnsi="Arial" w:cs="Arial"/>
          <w:sz w:val="24"/>
          <w:szCs w:val="24"/>
        </w:rPr>
      </w:pPr>
      <w:r w:rsidRPr="00F7682A">
        <w:rPr>
          <w:rFonts w:ascii="Arial" w:hAnsi="Arial" w:cs="Arial"/>
          <w:sz w:val="24"/>
          <w:szCs w:val="24"/>
        </w:rPr>
        <w:t>The agreement requires Ramesses II to accept warranty claims for the computers during the first year</w:t>
      </w:r>
      <w:r w:rsidR="00F7682A">
        <w:rPr>
          <w:rFonts w:ascii="Arial" w:hAnsi="Arial" w:cs="Arial"/>
          <w:sz w:val="24"/>
          <w:szCs w:val="24"/>
        </w:rPr>
        <w:t>. It gives</w:t>
      </w:r>
      <w:r w:rsidRPr="00F7682A">
        <w:rPr>
          <w:rFonts w:ascii="Arial" w:hAnsi="Arial" w:cs="Arial"/>
          <w:sz w:val="24"/>
          <w:szCs w:val="24"/>
        </w:rPr>
        <w:t xml:space="preserve"> customers the option of receiving a refund or exchanging the computer for a new Model E. Ramesses II will return the products to KTSB, and KTSB will reimburse Ramesses II for the refund or exchange amount and shipping costs. This creates a warranty and refund/exchange issue that KTSB must evaluate under ASC 606. ASC 606 distinguishes between warranties that </w:t>
      </w:r>
      <w:r w:rsidR="00F7682A">
        <w:rPr>
          <w:rFonts w:ascii="Arial" w:hAnsi="Arial" w:cs="Arial"/>
          <w:sz w:val="24"/>
          <w:szCs w:val="24"/>
        </w:rPr>
        <w:t>assure</w:t>
      </w:r>
      <w:r w:rsidRPr="00F7682A">
        <w:rPr>
          <w:rFonts w:ascii="Arial" w:hAnsi="Arial" w:cs="Arial"/>
          <w:sz w:val="24"/>
          <w:szCs w:val="24"/>
        </w:rPr>
        <w:t xml:space="preserve"> that a product complies with agreed-upon specifications and warranties that provide a service in addition to that assurance. In addition, an obligation to provide a refund for a defective product should not simply be treated as a warranty if the customer has a right to receive a refund. KTSB therefore must determine the nature of these obligations and whether they affect the amount or timing of revenue recognized. If the obligation is an assurance-type warranty, KTSB would generally account for the warranty obligation separately from revenue recognition. If the arrangement provides a separate service, a portion of the transaction price may need to be allocated to that performance obligation. The refund and exchange provisions could also affect the amount of consideration KTSB expects to retain from the computer sale. (ASC 606-10-55-29 through 55-35).</w:t>
      </w:r>
      <w:r w:rsidR="0020573F" w:rsidRPr="00F7682A">
        <w:rPr>
          <w:rFonts w:ascii="Arial" w:hAnsi="Arial" w:cs="Arial"/>
          <w:sz w:val="24"/>
          <w:szCs w:val="24"/>
        </w:rPr>
        <w:t xml:space="preserve"> (Western Governors University, n.d., p. 1).</w:t>
      </w:r>
    </w:p>
    <w:p w14:paraId="49682F77" w14:textId="77777777" w:rsidR="00B10CCA" w:rsidRPr="00F7682A" w:rsidRDefault="00B10CCA" w:rsidP="00B10CCA">
      <w:pPr>
        <w:rPr>
          <w:rFonts w:ascii="Arial" w:hAnsi="Arial" w:cs="Arial"/>
          <w:sz w:val="24"/>
          <w:szCs w:val="24"/>
        </w:rPr>
      </w:pPr>
    </w:p>
    <w:p w14:paraId="6EC42027" w14:textId="77777777" w:rsidR="00153B07" w:rsidRPr="00F7682A" w:rsidRDefault="00153B07" w:rsidP="00B10CCA">
      <w:pPr>
        <w:rPr>
          <w:rFonts w:ascii="Arial" w:hAnsi="Arial" w:cs="Arial"/>
          <w:sz w:val="24"/>
          <w:szCs w:val="24"/>
        </w:rPr>
      </w:pPr>
    </w:p>
    <w:p w14:paraId="5D7EAA44" w14:textId="77777777" w:rsidR="00153B07" w:rsidRPr="00F7682A" w:rsidRDefault="00153B07" w:rsidP="00B10CCA">
      <w:pPr>
        <w:rPr>
          <w:rFonts w:ascii="Arial" w:hAnsi="Arial" w:cs="Arial"/>
          <w:sz w:val="24"/>
          <w:szCs w:val="24"/>
        </w:rPr>
      </w:pPr>
    </w:p>
    <w:p w14:paraId="1FB844C2" w14:textId="77777777" w:rsidR="00153B07" w:rsidRPr="00F7682A" w:rsidRDefault="00153B07" w:rsidP="00B10CCA">
      <w:pPr>
        <w:rPr>
          <w:rFonts w:ascii="Arial" w:hAnsi="Arial" w:cs="Arial"/>
          <w:sz w:val="24"/>
          <w:szCs w:val="24"/>
        </w:rPr>
      </w:pPr>
    </w:p>
    <w:p w14:paraId="5B468E42" w14:textId="77777777" w:rsidR="00153B07" w:rsidRPr="00F7682A" w:rsidRDefault="00153B07" w:rsidP="00B10CCA">
      <w:pPr>
        <w:rPr>
          <w:rFonts w:ascii="Arial" w:hAnsi="Arial" w:cs="Arial"/>
          <w:sz w:val="24"/>
          <w:szCs w:val="24"/>
        </w:rPr>
      </w:pPr>
    </w:p>
    <w:p w14:paraId="086A2B90" w14:textId="77777777" w:rsidR="00153B07" w:rsidRPr="00F7682A" w:rsidRDefault="00153B07" w:rsidP="00B10CCA">
      <w:pPr>
        <w:rPr>
          <w:rFonts w:ascii="Arial" w:hAnsi="Arial" w:cs="Arial"/>
          <w:sz w:val="24"/>
          <w:szCs w:val="24"/>
        </w:rPr>
      </w:pPr>
    </w:p>
    <w:p w14:paraId="20745759" w14:textId="77777777" w:rsidR="00153B07" w:rsidRPr="00F7682A" w:rsidRDefault="00153B07" w:rsidP="00B10CCA">
      <w:pPr>
        <w:rPr>
          <w:rFonts w:ascii="Arial" w:hAnsi="Arial" w:cs="Arial"/>
          <w:sz w:val="24"/>
          <w:szCs w:val="24"/>
        </w:rPr>
      </w:pPr>
    </w:p>
    <w:p w14:paraId="1CFFC30B" w14:textId="77777777" w:rsidR="00153B07" w:rsidRPr="00F7682A" w:rsidRDefault="00153B07" w:rsidP="00B10CCA">
      <w:pPr>
        <w:rPr>
          <w:rFonts w:ascii="Arial" w:hAnsi="Arial" w:cs="Arial"/>
          <w:sz w:val="24"/>
          <w:szCs w:val="24"/>
        </w:rPr>
      </w:pPr>
    </w:p>
    <w:p w14:paraId="24C2AA19" w14:textId="77777777" w:rsidR="00153B07" w:rsidRPr="00F7682A" w:rsidRDefault="00153B07" w:rsidP="00B10CCA">
      <w:pPr>
        <w:rPr>
          <w:rFonts w:ascii="Arial" w:hAnsi="Arial" w:cs="Arial"/>
          <w:sz w:val="24"/>
          <w:szCs w:val="24"/>
        </w:rPr>
      </w:pPr>
    </w:p>
    <w:p w14:paraId="4D720BD3" w14:textId="77777777" w:rsidR="00153B07" w:rsidRPr="00F7682A" w:rsidRDefault="00153B07" w:rsidP="00B10CCA">
      <w:pPr>
        <w:rPr>
          <w:rFonts w:ascii="Arial" w:hAnsi="Arial" w:cs="Arial"/>
          <w:sz w:val="24"/>
          <w:szCs w:val="24"/>
        </w:rPr>
      </w:pPr>
    </w:p>
    <w:p w14:paraId="4B089FB4" w14:textId="77777777" w:rsidR="00153B07" w:rsidRPr="00F7682A" w:rsidRDefault="00153B07" w:rsidP="00B10CCA">
      <w:pPr>
        <w:rPr>
          <w:rFonts w:ascii="Arial" w:hAnsi="Arial" w:cs="Arial"/>
          <w:sz w:val="24"/>
          <w:szCs w:val="24"/>
        </w:rPr>
      </w:pPr>
    </w:p>
    <w:p w14:paraId="488BB82D" w14:textId="77777777" w:rsidR="00153B07" w:rsidRPr="00F7682A" w:rsidRDefault="00153B07" w:rsidP="00B10CCA">
      <w:pPr>
        <w:rPr>
          <w:rFonts w:ascii="Arial" w:hAnsi="Arial" w:cs="Arial"/>
          <w:sz w:val="24"/>
          <w:szCs w:val="24"/>
        </w:rPr>
      </w:pPr>
    </w:p>
    <w:p w14:paraId="3F44E7FD" w14:textId="77777777" w:rsidR="00153B07" w:rsidRPr="00F7682A" w:rsidRDefault="00153B07" w:rsidP="00B10CCA">
      <w:pPr>
        <w:rPr>
          <w:rFonts w:ascii="Arial" w:hAnsi="Arial" w:cs="Arial"/>
          <w:sz w:val="24"/>
          <w:szCs w:val="24"/>
        </w:rPr>
      </w:pPr>
    </w:p>
    <w:p w14:paraId="68C0DDF9" w14:textId="77777777" w:rsidR="00153B07" w:rsidRPr="00F7682A" w:rsidRDefault="00153B07" w:rsidP="00B10CCA">
      <w:pPr>
        <w:rPr>
          <w:rFonts w:ascii="Arial" w:hAnsi="Arial" w:cs="Arial"/>
          <w:sz w:val="24"/>
          <w:szCs w:val="24"/>
        </w:rPr>
      </w:pPr>
    </w:p>
    <w:p w14:paraId="78628B65" w14:textId="77777777" w:rsidR="00153B07" w:rsidRPr="00F7682A" w:rsidRDefault="00153B07" w:rsidP="00B10CCA">
      <w:pPr>
        <w:rPr>
          <w:rFonts w:ascii="Arial" w:hAnsi="Arial" w:cs="Arial"/>
          <w:sz w:val="24"/>
          <w:szCs w:val="24"/>
        </w:rPr>
      </w:pPr>
    </w:p>
    <w:p w14:paraId="18E548CF" w14:textId="77777777" w:rsidR="00153B07" w:rsidRPr="00F7682A" w:rsidRDefault="00153B07" w:rsidP="00B10CCA">
      <w:pPr>
        <w:rPr>
          <w:rFonts w:ascii="Arial" w:hAnsi="Arial" w:cs="Arial"/>
          <w:sz w:val="24"/>
          <w:szCs w:val="24"/>
        </w:rPr>
      </w:pPr>
    </w:p>
    <w:p w14:paraId="023296C4" w14:textId="77777777" w:rsidR="00153B07" w:rsidRPr="00F7682A" w:rsidRDefault="00153B07" w:rsidP="00B10CCA">
      <w:pPr>
        <w:rPr>
          <w:rFonts w:ascii="Arial" w:hAnsi="Arial" w:cs="Arial"/>
          <w:sz w:val="24"/>
          <w:szCs w:val="24"/>
        </w:rPr>
      </w:pPr>
    </w:p>
    <w:p w14:paraId="31F09326" w14:textId="77777777" w:rsidR="00153B07" w:rsidRPr="00F7682A" w:rsidRDefault="00153B07" w:rsidP="00B10CCA">
      <w:pPr>
        <w:rPr>
          <w:rFonts w:ascii="Arial" w:hAnsi="Arial" w:cs="Arial"/>
          <w:sz w:val="24"/>
          <w:szCs w:val="24"/>
        </w:rPr>
      </w:pPr>
    </w:p>
    <w:p w14:paraId="2F5927D9" w14:textId="77777777" w:rsidR="00153B07" w:rsidRPr="00F7682A" w:rsidRDefault="00153B07" w:rsidP="00B10CCA">
      <w:pPr>
        <w:rPr>
          <w:rFonts w:ascii="Arial" w:hAnsi="Arial" w:cs="Arial"/>
          <w:sz w:val="24"/>
          <w:szCs w:val="24"/>
        </w:rPr>
      </w:pPr>
    </w:p>
    <w:p w14:paraId="4F29941A" w14:textId="77777777" w:rsidR="00153B07" w:rsidRPr="00F7682A" w:rsidRDefault="00153B07" w:rsidP="00B10CCA">
      <w:pPr>
        <w:rPr>
          <w:rFonts w:ascii="Arial" w:hAnsi="Arial" w:cs="Arial"/>
          <w:sz w:val="24"/>
          <w:szCs w:val="24"/>
        </w:rPr>
      </w:pPr>
    </w:p>
    <w:p w14:paraId="35223A27" w14:textId="77777777" w:rsidR="00153B07" w:rsidRPr="00F7682A" w:rsidRDefault="00153B07" w:rsidP="00B10CCA">
      <w:pPr>
        <w:rPr>
          <w:rFonts w:ascii="Arial" w:hAnsi="Arial" w:cs="Arial"/>
          <w:sz w:val="24"/>
          <w:szCs w:val="24"/>
        </w:rPr>
      </w:pPr>
    </w:p>
    <w:p w14:paraId="7B2604B0" w14:textId="77777777" w:rsidR="00153B07" w:rsidRPr="00F7682A" w:rsidRDefault="00153B07" w:rsidP="00B10CCA">
      <w:pPr>
        <w:rPr>
          <w:rFonts w:ascii="Arial" w:hAnsi="Arial" w:cs="Arial"/>
          <w:sz w:val="24"/>
          <w:szCs w:val="24"/>
        </w:rPr>
      </w:pPr>
    </w:p>
    <w:p w14:paraId="3E48A0FE" w14:textId="77777777" w:rsidR="00153B07" w:rsidRPr="00F7682A" w:rsidRDefault="00153B07" w:rsidP="00B10CCA">
      <w:pPr>
        <w:rPr>
          <w:rFonts w:ascii="Arial" w:hAnsi="Arial" w:cs="Arial"/>
          <w:sz w:val="24"/>
          <w:szCs w:val="24"/>
        </w:rPr>
      </w:pPr>
    </w:p>
    <w:p w14:paraId="3E665E96" w14:textId="06536C23" w:rsidR="00B10CCA" w:rsidRPr="00F7682A" w:rsidRDefault="00B10CCA" w:rsidP="00B10CCA">
      <w:pPr>
        <w:rPr>
          <w:rFonts w:ascii="Arial" w:hAnsi="Arial" w:cs="Arial"/>
          <w:b/>
          <w:bCs/>
          <w:sz w:val="24"/>
          <w:szCs w:val="24"/>
        </w:rPr>
      </w:pPr>
      <w:r w:rsidRPr="00F7682A">
        <w:rPr>
          <w:rFonts w:ascii="Arial" w:hAnsi="Arial" w:cs="Arial"/>
          <w:b/>
          <w:bCs/>
          <w:sz w:val="24"/>
          <w:szCs w:val="24"/>
        </w:rPr>
        <w:t>Memorandum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8725"/>
      </w:tblGrid>
      <w:tr w:rsidR="00113436" w:rsidRPr="00F7682A" w14:paraId="61AA77AB" w14:textId="77777777" w:rsidTr="00113436">
        <w:tc>
          <w:tcPr>
            <w:tcW w:w="2065" w:type="dxa"/>
          </w:tcPr>
          <w:p w14:paraId="3165280B" w14:textId="26883BF4" w:rsidR="00113436" w:rsidRPr="00F7682A" w:rsidRDefault="00113436" w:rsidP="00B10CCA">
            <w:pPr>
              <w:rPr>
                <w:rFonts w:ascii="Arial" w:hAnsi="Arial" w:cs="Arial"/>
                <w:b/>
                <w:bCs/>
                <w:sz w:val="24"/>
                <w:szCs w:val="24"/>
              </w:rPr>
            </w:pPr>
            <w:r w:rsidRPr="00F7682A">
              <w:rPr>
                <w:rFonts w:ascii="Arial" w:hAnsi="Arial" w:cs="Arial"/>
                <w:b/>
                <w:bCs/>
                <w:sz w:val="24"/>
                <w:szCs w:val="24"/>
              </w:rPr>
              <w:t>To:</w:t>
            </w:r>
          </w:p>
        </w:tc>
        <w:tc>
          <w:tcPr>
            <w:tcW w:w="8725" w:type="dxa"/>
          </w:tcPr>
          <w:p w14:paraId="10BDEFF0" w14:textId="3BBFCDD8" w:rsidR="00113436" w:rsidRPr="00F7682A" w:rsidRDefault="00113436" w:rsidP="00B10CCA">
            <w:pPr>
              <w:rPr>
                <w:rFonts w:ascii="Arial" w:hAnsi="Arial" w:cs="Arial"/>
                <w:sz w:val="24"/>
                <w:szCs w:val="24"/>
              </w:rPr>
            </w:pPr>
            <w:r w:rsidRPr="00F7682A">
              <w:rPr>
                <w:rFonts w:ascii="Arial" w:hAnsi="Arial" w:cs="Arial"/>
                <w:sz w:val="24"/>
                <w:szCs w:val="24"/>
              </w:rPr>
              <w:t>KTSB Manufacturing &amp; Distribution Company Management</w:t>
            </w:r>
          </w:p>
        </w:tc>
      </w:tr>
      <w:tr w:rsidR="00113436" w:rsidRPr="00F7682A" w14:paraId="73F36FB2" w14:textId="77777777" w:rsidTr="00113436">
        <w:tc>
          <w:tcPr>
            <w:tcW w:w="2065" w:type="dxa"/>
          </w:tcPr>
          <w:p w14:paraId="63BDBEC6" w14:textId="7DEA9FB5" w:rsidR="00113436" w:rsidRPr="00F7682A" w:rsidRDefault="00113436" w:rsidP="00B10CCA">
            <w:pPr>
              <w:rPr>
                <w:rFonts w:ascii="Arial" w:hAnsi="Arial" w:cs="Arial"/>
                <w:b/>
                <w:bCs/>
                <w:sz w:val="24"/>
                <w:szCs w:val="24"/>
              </w:rPr>
            </w:pPr>
            <w:r w:rsidRPr="00F7682A">
              <w:rPr>
                <w:rFonts w:ascii="Arial" w:hAnsi="Arial" w:cs="Arial"/>
                <w:b/>
                <w:bCs/>
                <w:sz w:val="24"/>
                <w:szCs w:val="24"/>
              </w:rPr>
              <w:t>From:</w:t>
            </w:r>
          </w:p>
        </w:tc>
        <w:tc>
          <w:tcPr>
            <w:tcW w:w="8725" w:type="dxa"/>
          </w:tcPr>
          <w:p w14:paraId="014CA21A" w14:textId="3A5F386D" w:rsidR="00113436" w:rsidRPr="00F7682A" w:rsidRDefault="00113436" w:rsidP="00B10CCA">
            <w:pPr>
              <w:rPr>
                <w:rFonts w:ascii="Arial" w:hAnsi="Arial" w:cs="Arial"/>
                <w:sz w:val="24"/>
                <w:szCs w:val="24"/>
              </w:rPr>
            </w:pPr>
            <w:r w:rsidRPr="00F7682A">
              <w:rPr>
                <w:rFonts w:ascii="Arial" w:hAnsi="Arial" w:cs="Arial"/>
                <w:sz w:val="24"/>
                <w:szCs w:val="24"/>
              </w:rPr>
              <w:t>Evelyn Smith</w:t>
            </w:r>
          </w:p>
        </w:tc>
      </w:tr>
      <w:tr w:rsidR="00113436" w:rsidRPr="00F7682A" w14:paraId="0826ED73" w14:textId="77777777" w:rsidTr="00113436">
        <w:tc>
          <w:tcPr>
            <w:tcW w:w="2065" w:type="dxa"/>
          </w:tcPr>
          <w:p w14:paraId="5D10FEF8" w14:textId="45C9521D" w:rsidR="00113436" w:rsidRPr="00F7682A" w:rsidRDefault="00113436" w:rsidP="00B10CCA">
            <w:pPr>
              <w:rPr>
                <w:rFonts w:ascii="Arial" w:hAnsi="Arial" w:cs="Arial"/>
                <w:b/>
                <w:bCs/>
                <w:sz w:val="24"/>
                <w:szCs w:val="24"/>
              </w:rPr>
            </w:pPr>
            <w:r w:rsidRPr="00F7682A">
              <w:rPr>
                <w:rFonts w:ascii="Arial" w:hAnsi="Arial" w:cs="Arial"/>
                <w:b/>
                <w:bCs/>
                <w:sz w:val="24"/>
                <w:szCs w:val="24"/>
              </w:rPr>
              <w:t>Date:</w:t>
            </w:r>
          </w:p>
        </w:tc>
        <w:tc>
          <w:tcPr>
            <w:tcW w:w="8725" w:type="dxa"/>
          </w:tcPr>
          <w:p w14:paraId="7012467C" w14:textId="6E37EB59" w:rsidR="00113436" w:rsidRPr="00F7682A" w:rsidRDefault="00113436" w:rsidP="00B10CCA">
            <w:pPr>
              <w:rPr>
                <w:rFonts w:ascii="Arial" w:hAnsi="Arial" w:cs="Arial"/>
                <w:sz w:val="24"/>
                <w:szCs w:val="24"/>
              </w:rPr>
            </w:pPr>
            <w:r w:rsidRPr="00F7682A">
              <w:rPr>
                <w:rFonts w:ascii="Arial" w:hAnsi="Arial" w:cs="Arial"/>
                <w:sz w:val="24"/>
                <w:szCs w:val="24"/>
              </w:rPr>
              <w:t>August 08, 2026</w:t>
            </w:r>
          </w:p>
        </w:tc>
      </w:tr>
      <w:tr w:rsidR="00113436" w:rsidRPr="00F7682A" w14:paraId="677B20D8" w14:textId="77777777" w:rsidTr="00113436">
        <w:tc>
          <w:tcPr>
            <w:tcW w:w="2065" w:type="dxa"/>
          </w:tcPr>
          <w:p w14:paraId="5870058E" w14:textId="17474A44" w:rsidR="00113436" w:rsidRPr="00F7682A" w:rsidRDefault="00113436" w:rsidP="00B10CCA">
            <w:pPr>
              <w:rPr>
                <w:rFonts w:ascii="Arial" w:hAnsi="Arial" w:cs="Arial"/>
                <w:b/>
                <w:bCs/>
                <w:sz w:val="24"/>
                <w:szCs w:val="24"/>
              </w:rPr>
            </w:pPr>
            <w:r w:rsidRPr="00F7682A">
              <w:rPr>
                <w:rFonts w:ascii="Arial" w:hAnsi="Arial" w:cs="Arial"/>
                <w:b/>
                <w:bCs/>
                <w:sz w:val="24"/>
                <w:szCs w:val="24"/>
              </w:rPr>
              <w:t>Subject:</w:t>
            </w:r>
          </w:p>
        </w:tc>
        <w:tc>
          <w:tcPr>
            <w:tcW w:w="8725" w:type="dxa"/>
          </w:tcPr>
          <w:p w14:paraId="5C91FBF0" w14:textId="00D92D18" w:rsidR="00113436" w:rsidRPr="00F7682A" w:rsidRDefault="00113436" w:rsidP="00B10CCA">
            <w:pPr>
              <w:rPr>
                <w:rFonts w:ascii="Arial" w:hAnsi="Arial" w:cs="Arial"/>
                <w:sz w:val="24"/>
                <w:szCs w:val="24"/>
              </w:rPr>
            </w:pPr>
            <w:r w:rsidRPr="00F7682A">
              <w:rPr>
                <w:rFonts w:ascii="Arial" w:hAnsi="Arial" w:cs="Arial"/>
                <w:b/>
                <w:bCs/>
                <w:sz w:val="24"/>
                <w:szCs w:val="24"/>
              </w:rPr>
              <w:t>Revenue Recognition Analysis</w:t>
            </w:r>
            <w:r w:rsidRPr="00F7682A">
              <w:rPr>
                <w:rFonts w:ascii="Arial" w:hAnsi="Arial" w:cs="Arial"/>
                <w:sz w:val="24"/>
                <w:szCs w:val="24"/>
              </w:rPr>
              <w:t xml:space="preserve"> | Ramesses II Sales Agreement</w:t>
            </w:r>
          </w:p>
        </w:tc>
      </w:tr>
    </w:tbl>
    <w:p w14:paraId="360ACD57" w14:textId="77777777" w:rsidR="00113436" w:rsidRPr="00F7682A" w:rsidRDefault="00113436" w:rsidP="00B10CCA">
      <w:pPr>
        <w:rPr>
          <w:rFonts w:ascii="Arial" w:hAnsi="Arial" w:cs="Arial"/>
          <w:b/>
          <w:bCs/>
          <w:sz w:val="24"/>
          <w:szCs w:val="24"/>
        </w:rPr>
      </w:pPr>
    </w:p>
    <w:p w14:paraId="694F5EFF" w14:textId="2C66C383" w:rsidR="00B10CCA" w:rsidRPr="00F7682A" w:rsidRDefault="00B10CCA" w:rsidP="00B10CCA">
      <w:pPr>
        <w:rPr>
          <w:rFonts w:ascii="Arial" w:hAnsi="Arial" w:cs="Arial"/>
          <w:sz w:val="24"/>
          <w:szCs w:val="24"/>
        </w:rPr>
      </w:pPr>
      <w:r w:rsidRPr="00F7682A">
        <w:rPr>
          <w:rFonts w:ascii="Arial" w:hAnsi="Arial" w:cs="Arial"/>
          <w:sz w:val="24"/>
          <w:szCs w:val="24"/>
        </w:rPr>
        <w:t xml:space="preserve">KTSB Manufacturing and Distribution Company </w:t>
      </w:r>
      <w:r w:rsidR="00F7682A">
        <w:rPr>
          <w:rFonts w:ascii="Arial" w:hAnsi="Arial" w:cs="Arial"/>
          <w:sz w:val="24"/>
          <w:szCs w:val="24"/>
        </w:rPr>
        <w:t>agreed</w:t>
      </w:r>
      <w:r w:rsidRPr="00F7682A">
        <w:rPr>
          <w:rFonts w:ascii="Arial" w:hAnsi="Arial" w:cs="Arial"/>
          <w:sz w:val="24"/>
          <w:szCs w:val="24"/>
        </w:rPr>
        <w:t xml:space="preserve"> with Ramesses II to sell 300 Model E computers. Ramesses II placed the purchase order on July 16, with shipment scheduled for August 23 under net 90 payment terms. Legal title transfers to Ramesses II upon delivery of the computers. The agreement allows Ramesses II to return any unsold computers within 90 days of purchase, which requires KTSB to estimate expected returns before recognizing revenue.</w:t>
      </w:r>
    </w:p>
    <w:p w14:paraId="24FC5174" w14:textId="75D6A91D" w:rsidR="00B10CCA" w:rsidRPr="00F7682A" w:rsidRDefault="00B10CCA" w:rsidP="00B10CCA">
      <w:pPr>
        <w:rPr>
          <w:rFonts w:ascii="Arial" w:hAnsi="Arial" w:cs="Arial"/>
          <w:sz w:val="24"/>
          <w:szCs w:val="24"/>
        </w:rPr>
      </w:pPr>
      <w:r w:rsidRPr="00F7682A">
        <w:rPr>
          <w:rFonts w:ascii="Arial" w:hAnsi="Arial" w:cs="Arial"/>
          <w:sz w:val="24"/>
          <w:szCs w:val="24"/>
        </w:rPr>
        <w:t xml:space="preserve">In addition, KTSB issued a $100 </w:t>
      </w:r>
      <w:r w:rsidR="00F7682A">
        <w:rPr>
          <w:rFonts w:ascii="Arial" w:hAnsi="Arial" w:cs="Arial"/>
          <w:sz w:val="24"/>
          <w:szCs w:val="24"/>
        </w:rPr>
        <w:t>manufacturer's</w:t>
      </w:r>
      <w:r w:rsidRPr="00F7682A">
        <w:rPr>
          <w:rFonts w:ascii="Arial" w:hAnsi="Arial" w:cs="Arial"/>
          <w:sz w:val="24"/>
          <w:szCs w:val="24"/>
        </w:rPr>
        <w:t xml:space="preserve"> coupon that customers may redeem through either KTSB’s website or Ramesses II stores. Because KTSB reimburses Ramesses II for redeemed coupons, the coupon arrangement reduces the transaction price. Ramesses II also sells KTSB gift cards at its kiosks and receives a 3% commission, which exceeds the industry standard commission rate of 2.5%. Finally, Ramesses II handles customer warranty claims during the first year after </w:t>
      </w:r>
      <w:proofErr w:type="gramStart"/>
      <w:r w:rsidRPr="00F7682A">
        <w:rPr>
          <w:rFonts w:ascii="Arial" w:hAnsi="Arial" w:cs="Arial"/>
          <w:sz w:val="24"/>
          <w:szCs w:val="24"/>
        </w:rPr>
        <w:t>sale</w:t>
      </w:r>
      <w:proofErr w:type="gramEnd"/>
      <w:r w:rsidRPr="00F7682A">
        <w:rPr>
          <w:rFonts w:ascii="Arial" w:hAnsi="Arial" w:cs="Arial"/>
          <w:sz w:val="24"/>
          <w:szCs w:val="24"/>
        </w:rPr>
        <w:t xml:space="preserve"> and provides customers with refund or exchange options for defective Model E computers. KTSB reimburses Ramesses II for refunds, replacement products, and shipping costs. These provisions require evaluation under ASC 606, Revenue from Contracts with Customers.</w:t>
      </w:r>
    </w:p>
    <w:p w14:paraId="7ECD896E" w14:textId="77777777" w:rsidR="00B10CCA" w:rsidRPr="00F7682A" w:rsidRDefault="00000000" w:rsidP="00B10CCA">
      <w:pPr>
        <w:rPr>
          <w:rFonts w:ascii="Arial" w:hAnsi="Arial" w:cs="Arial"/>
          <w:sz w:val="24"/>
          <w:szCs w:val="24"/>
        </w:rPr>
      </w:pPr>
      <w:r>
        <w:rPr>
          <w:rFonts w:ascii="Arial" w:hAnsi="Arial" w:cs="Arial"/>
          <w:sz w:val="24"/>
          <w:szCs w:val="24"/>
        </w:rPr>
        <w:pict w14:anchorId="2487D525">
          <v:rect id="_x0000_i1025" style="width:0;height:1.5pt" o:hralign="center" o:hrstd="t" o:hr="t" fillcolor="#a0a0a0" stroked="f"/>
        </w:pict>
      </w:r>
    </w:p>
    <w:p w14:paraId="4D3ACA95" w14:textId="77777777" w:rsidR="00E6024C" w:rsidRPr="00F7682A" w:rsidRDefault="00E6024C" w:rsidP="00E6024C">
      <w:pPr>
        <w:rPr>
          <w:rFonts w:ascii="Arial" w:hAnsi="Arial" w:cs="Arial"/>
          <w:b/>
          <w:bCs/>
          <w:sz w:val="24"/>
          <w:szCs w:val="24"/>
        </w:rPr>
      </w:pPr>
      <w:r w:rsidRPr="00F7682A">
        <w:rPr>
          <w:rFonts w:ascii="Arial" w:hAnsi="Arial" w:cs="Arial"/>
          <w:b/>
          <w:bCs/>
          <w:sz w:val="24"/>
          <w:szCs w:val="24"/>
        </w:rPr>
        <w:t>Issue 1: Right of Return</w:t>
      </w:r>
    </w:p>
    <w:p w14:paraId="637AA326" w14:textId="77777777" w:rsidR="00E6024C" w:rsidRPr="004B3295" w:rsidRDefault="00E6024C" w:rsidP="00E6024C">
      <w:pPr>
        <w:rPr>
          <w:rFonts w:ascii="Arial" w:hAnsi="Arial" w:cs="Arial"/>
          <w:i/>
          <w:iCs/>
          <w:sz w:val="24"/>
          <w:szCs w:val="24"/>
          <w:u w:val="single"/>
        </w:rPr>
      </w:pPr>
      <w:r w:rsidRPr="004B3295">
        <w:rPr>
          <w:rFonts w:ascii="Arial" w:hAnsi="Arial" w:cs="Arial"/>
          <w:i/>
          <w:iCs/>
          <w:sz w:val="24"/>
          <w:szCs w:val="24"/>
          <w:u w:val="single"/>
        </w:rPr>
        <w:t>Impact on Revenue Recognition</w:t>
      </w:r>
    </w:p>
    <w:p w14:paraId="793E0AE5" w14:textId="78E9F2A6" w:rsidR="00E6024C" w:rsidRPr="00F7682A" w:rsidRDefault="00E6024C" w:rsidP="00E6024C">
      <w:pPr>
        <w:rPr>
          <w:rFonts w:ascii="Arial" w:hAnsi="Arial" w:cs="Arial"/>
          <w:sz w:val="24"/>
          <w:szCs w:val="24"/>
        </w:rPr>
      </w:pPr>
      <w:r w:rsidRPr="00F7682A">
        <w:rPr>
          <w:rFonts w:ascii="Arial" w:hAnsi="Arial" w:cs="Arial"/>
          <w:sz w:val="24"/>
          <w:szCs w:val="24"/>
        </w:rPr>
        <w:t xml:space="preserve">Ramesses II has the right to return unsold Model E computers within 90 days of purchase. Because KTSB may not ultimately be entitled to retain consideration for all 300 computers, </w:t>
      </w:r>
      <w:r w:rsidR="00F7682A">
        <w:rPr>
          <w:rFonts w:ascii="Arial" w:hAnsi="Arial" w:cs="Arial"/>
          <w:sz w:val="24"/>
          <w:szCs w:val="24"/>
        </w:rPr>
        <w:t>it cannot recognize revenue for the full sales amount without accounting for</w:t>
      </w:r>
      <w:r w:rsidRPr="00F7682A">
        <w:rPr>
          <w:rFonts w:ascii="Arial" w:hAnsi="Arial" w:cs="Arial"/>
          <w:sz w:val="24"/>
          <w:szCs w:val="24"/>
        </w:rPr>
        <w:t xml:space="preserve"> expected returns. Under ASC 606, a right of return creates variable consideration because the amount of consideration KTSB will ultimately retain depends on the number of computers returned.</w:t>
      </w:r>
    </w:p>
    <w:p w14:paraId="77AC2CF3" w14:textId="77777777" w:rsidR="00E6024C" w:rsidRPr="004B3295" w:rsidRDefault="00E6024C" w:rsidP="00E6024C">
      <w:pPr>
        <w:rPr>
          <w:rFonts w:ascii="Arial" w:hAnsi="Arial" w:cs="Arial"/>
          <w:i/>
          <w:iCs/>
          <w:sz w:val="24"/>
          <w:szCs w:val="24"/>
          <w:u w:val="single"/>
        </w:rPr>
      </w:pPr>
      <w:r w:rsidRPr="004B3295">
        <w:rPr>
          <w:rFonts w:ascii="Arial" w:hAnsi="Arial" w:cs="Arial"/>
          <w:i/>
          <w:iCs/>
          <w:sz w:val="24"/>
          <w:szCs w:val="24"/>
          <w:u w:val="single"/>
        </w:rPr>
        <w:t>Authoritative Guidance</w:t>
      </w:r>
    </w:p>
    <w:p w14:paraId="39456553" w14:textId="77777777" w:rsidR="00E6024C" w:rsidRPr="00F7682A" w:rsidRDefault="00E6024C" w:rsidP="00E6024C">
      <w:pPr>
        <w:rPr>
          <w:rFonts w:ascii="Arial" w:hAnsi="Arial" w:cs="Arial"/>
          <w:sz w:val="24"/>
          <w:szCs w:val="24"/>
        </w:rPr>
      </w:pPr>
      <w:r w:rsidRPr="00F7682A">
        <w:rPr>
          <w:rFonts w:ascii="Arial" w:hAnsi="Arial" w:cs="Arial"/>
          <w:sz w:val="24"/>
          <w:szCs w:val="24"/>
        </w:rPr>
        <w:t>ASC 606:</w:t>
      </w:r>
    </w:p>
    <w:p w14:paraId="40B0662E" w14:textId="77777777" w:rsidR="00E6024C" w:rsidRPr="00F7682A" w:rsidRDefault="00E6024C" w:rsidP="00E6024C">
      <w:pPr>
        <w:rPr>
          <w:rFonts w:ascii="Arial" w:hAnsi="Arial" w:cs="Arial"/>
          <w:sz w:val="24"/>
          <w:szCs w:val="24"/>
        </w:rPr>
      </w:pPr>
      <w:r w:rsidRPr="00F7682A">
        <w:rPr>
          <w:rFonts w:ascii="Arial" w:hAnsi="Arial" w:cs="Arial"/>
          <w:sz w:val="24"/>
          <w:szCs w:val="24"/>
        </w:rPr>
        <w:t>Topic 606, Revenue from Contracts with Customers</w:t>
      </w:r>
    </w:p>
    <w:p w14:paraId="4A4CD1B8" w14:textId="77777777" w:rsidR="00E6024C" w:rsidRPr="00F7682A" w:rsidRDefault="00E6024C" w:rsidP="00E6024C">
      <w:pPr>
        <w:rPr>
          <w:rFonts w:ascii="Arial" w:hAnsi="Arial" w:cs="Arial"/>
          <w:sz w:val="24"/>
          <w:szCs w:val="24"/>
        </w:rPr>
      </w:pPr>
      <w:r w:rsidRPr="00F7682A">
        <w:rPr>
          <w:rFonts w:ascii="Arial" w:hAnsi="Arial" w:cs="Arial"/>
          <w:sz w:val="24"/>
          <w:szCs w:val="24"/>
        </w:rPr>
        <w:t>Subtopic 606-10, Overall</w:t>
      </w:r>
    </w:p>
    <w:p w14:paraId="001665FA" w14:textId="77777777" w:rsidR="00E6024C" w:rsidRPr="00F7682A" w:rsidRDefault="00E6024C" w:rsidP="00E6024C">
      <w:pPr>
        <w:rPr>
          <w:rFonts w:ascii="Arial" w:hAnsi="Arial" w:cs="Arial"/>
          <w:sz w:val="24"/>
          <w:szCs w:val="24"/>
        </w:rPr>
      </w:pPr>
      <w:r w:rsidRPr="00F7682A">
        <w:rPr>
          <w:rFonts w:ascii="Arial" w:hAnsi="Arial" w:cs="Arial"/>
          <w:sz w:val="24"/>
          <w:szCs w:val="24"/>
        </w:rPr>
        <w:t>Section 55, Implementation Guidance and Illustrations</w:t>
      </w:r>
    </w:p>
    <w:p w14:paraId="7652CB09" w14:textId="77777777" w:rsidR="00E6024C" w:rsidRPr="00F7682A" w:rsidRDefault="00E6024C" w:rsidP="00E6024C">
      <w:pPr>
        <w:rPr>
          <w:rFonts w:ascii="Arial" w:hAnsi="Arial" w:cs="Arial"/>
          <w:sz w:val="24"/>
          <w:szCs w:val="24"/>
        </w:rPr>
      </w:pPr>
      <w:r w:rsidRPr="00F7682A">
        <w:rPr>
          <w:rFonts w:ascii="Arial" w:hAnsi="Arial" w:cs="Arial"/>
          <w:sz w:val="24"/>
          <w:szCs w:val="24"/>
        </w:rPr>
        <w:t>ASC 606-10-55-22 through 55-29, Sales with a Right of Return</w:t>
      </w:r>
    </w:p>
    <w:p w14:paraId="2B07C1D6" w14:textId="77777777" w:rsidR="004B3295" w:rsidRDefault="004B3295" w:rsidP="00E6024C">
      <w:pPr>
        <w:rPr>
          <w:rFonts w:ascii="Arial" w:hAnsi="Arial" w:cs="Arial"/>
          <w:i/>
          <w:iCs/>
          <w:sz w:val="24"/>
          <w:szCs w:val="24"/>
          <w:u w:val="single"/>
        </w:rPr>
      </w:pPr>
    </w:p>
    <w:p w14:paraId="7FAFCD06" w14:textId="77777777" w:rsidR="004B3295" w:rsidRDefault="004B3295" w:rsidP="00E6024C">
      <w:pPr>
        <w:rPr>
          <w:rFonts w:ascii="Arial" w:hAnsi="Arial" w:cs="Arial"/>
          <w:i/>
          <w:iCs/>
          <w:sz w:val="24"/>
          <w:szCs w:val="24"/>
          <w:u w:val="single"/>
        </w:rPr>
      </w:pPr>
    </w:p>
    <w:p w14:paraId="61440058" w14:textId="245F864C" w:rsidR="00E6024C" w:rsidRPr="004B3295" w:rsidRDefault="00E6024C" w:rsidP="00E6024C">
      <w:pPr>
        <w:rPr>
          <w:rFonts w:ascii="Arial" w:hAnsi="Arial" w:cs="Arial"/>
          <w:i/>
          <w:iCs/>
          <w:sz w:val="24"/>
          <w:szCs w:val="24"/>
          <w:u w:val="single"/>
        </w:rPr>
      </w:pPr>
      <w:r w:rsidRPr="004B3295">
        <w:rPr>
          <w:rFonts w:ascii="Arial" w:hAnsi="Arial" w:cs="Arial"/>
          <w:i/>
          <w:iCs/>
          <w:sz w:val="24"/>
          <w:szCs w:val="24"/>
          <w:u w:val="single"/>
        </w:rPr>
        <w:t>Analysis</w:t>
      </w:r>
    </w:p>
    <w:p w14:paraId="6720F06A" w14:textId="27B3C7BE" w:rsidR="00E6024C" w:rsidRPr="00F7682A" w:rsidRDefault="00E6024C" w:rsidP="00E6024C">
      <w:pPr>
        <w:rPr>
          <w:rFonts w:ascii="Arial" w:hAnsi="Arial" w:cs="Arial"/>
          <w:sz w:val="24"/>
          <w:szCs w:val="24"/>
        </w:rPr>
      </w:pPr>
      <w:r w:rsidRPr="00F7682A">
        <w:rPr>
          <w:rFonts w:ascii="Arial" w:hAnsi="Arial" w:cs="Arial"/>
          <w:sz w:val="24"/>
          <w:szCs w:val="24"/>
        </w:rPr>
        <w:t xml:space="preserve">Under ASC 606-10-55-22 through 55-29, when a customer has </w:t>
      </w:r>
      <w:r w:rsidR="00F7682A">
        <w:rPr>
          <w:rFonts w:ascii="Arial" w:hAnsi="Arial" w:cs="Arial"/>
          <w:sz w:val="24"/>
          <w:szCs w:val="24"/>
        </w:rPr>
        <w:t xml:space="preserve">the right to return a product, an entity recognizes revenue only </w:t>
      </w:r>
      <w:proofErr w:type="gramStart"/>
      <w:r w:rsidR="00F7682A">
        <w:rPr>
          <w:rFonts w:ascii="Arial" w:hAnsi="Arial" w:cs="Arial"/>
          <w:sz w:val="24"/>
          <w:szCs w:val="24"/>
        </w:rPr>
        <w:t>for the amount of</w:t>
      </w:r>
      <w:proofErr w:type="gramEnd"/>
      <w:r w:rsidR="00F7682A">
        <w:rPr>
          <w:rFonts w:ascii="Arial" w:hAnsi="Arial" w:cs="Arial"/>
          <w:sz w:val="24"/>
          <w:szCs w:val="24"/>
        </w:rPr>
        <w:t xml:space="preserve"> consideration to which it expects to be entitled after accounting for</w:t>
      </w:r>
      <w:r w:rsidRPr="00F7682A">
        <w:rPr>
          <w:rFonts w:ascii="Arial" w:hAnsi="Arial" w:cs="Arial"/>
          <w:sz w:val="24"/>
          <w:szCs w:val="24"/>
        </w:rPr>
        <w:t xml:space="preserve"> expected returns. The entity also recognizes a refund liability for expected refunds and an asset for its right to recover products expected to be returned. KTSB should use available information to estimate expected returns and update the estimate as additional information becomes available.</w:t>
      </w:r>
    </w:p>
    <w:p w14:paraId="17A368C7" w14:textId="77777777" w:rsidR="00E6024C" w:rsidRPr="004B3295" w:rsidRDefault="00E6024C" w:rsidP="00E6024C">
      <w:pPr>
        <w:rPr>
          <w:rFonts w:ascii="Arial" w:hAnsi="Arial" w:cs="Arial"/>
          <w:i/>
          <w:iCs/>
          <w:sz w:val="24"/>
          <w:szCs w:val="24"/>
          <w:u w:val="single"/>
        </w:rPr>
      </w:pPr>
      <w:r w:rsidRPr="004B3295">
        <w:rPr>
          <w:rFonts w:ascii="Arial" w:hAnsi="Arial" w:cs="Arial"/>
          <w:i/>
          <w:iCs/>
          <w:sz w:val="24"/>
          <w:szCs w:val="24"/>
          <w:u w:val="single"/>
        </w:rPr>
        <w:t>Recommendation</w:t>
      </w:r>
    </w:p>
    <w:p w14:paraId="1338DE35" w14:textId="77777777" w:rsidR="00E6024C" w:rsidRPr="00F7682A" w:rsidRDefault="00E6024C" w:rsidP="00E6024C">
      <w:pPr>
        <w:rPr>
          <w:rFonts w:ascii="Arial" w:hAnsi="Arial" w:cs="Arial"/>
          <w:sz w:val="24"/>
          <w:szCs w:val="24"/>
        </w:rPr>
      </w:pPr>
      <w:r w:rsidRPr="00F7682A">
        <w:rPr>
          <w:rFonts w:ascii="Arial" w:hAnsi="Arial" w:cs="Arial"/>
          <w:sz w:val="24"/>
          <w:szCs w:val="24"/>
        </w:rPr>
        <w:t>KTSB should:</w:t>
      </w:r>
    </w:p>
    <w:p w14:paraId="3AF6924A" w14:textId="77777777" w:rsidR="00E6024C" w:rsidRPr="00F7682A" w:rsidRDefault="00E6024C" w:rsidP="00E6024C">
      <w:pPr>
        <w:pStyle w:val="ListParagraph"/>
        <w:numPr>
          <w:ilvl w:val="0"/>
          <w:numId w:val="11"/>
        </w:numPr>
        <w:rPr>
          <w:rFonts w:ascii="Arial" w:hAnsi="Arial" w:cs="Arial"/>
          <w:sz w:val="24"/>
          <w:szCs w:val="24"/>
        </w:rPr>
      </w:pPr>
      <w:r w:rsidRPr="00F7682A">
        <w:rPr>
          <w:rFonts w:ascii="Arial" w:hAnsi="Arial" w:cs="Arial"/>
          <w:sz w:val="24"/>
          <w:szCs w:val="24"/>
        </w:rPr>
        <w:t>Estimate the number and value of computers expected to be returned.</w:t>
      </w:r>
    </w:p>
    <w:p w14:paraId="20570776" w14:textId="77777777" w:rsidR="00E6024C" w:rsidRPr="00F7682A" w:rsidRDefault="00E6024C" w:rsidP="00E6024C">
      <w:pPr>
        <w:pStyle w:val="ListParagraph"/>
        <w:numPr>
          <w:ilvl w:val="0"/>
          <w:numId w:val="11"/>
        </w:numPr>
        <w:rPr>
          <w:rFonts w:ascii="Arial" w:hAnsi="Arial" w:cs="Arial"/>
          <w:sz w:val="24"/>
          <w:szCs w:val="24"/>
        </w:rPr>
      </w:pPr>
      <w:r w:rsidRPr="00F7682A">
        <w:rPr>
          <w:rFonts w:ascii="Arial" w:hAnsi="Arial" w:cs="Arial"/>
          <w:sz w:val="24"/>
          <w:szCs w:val="24"/>
        </w:rPr>
        <w:t xml:space="preserve">Recognize revenue only </w:t>
      </w:r>
      <w:proofErr w:type="gramStart"/>
      <w:r w:rsidRPr="00F7682A">
        <w:rPr>
          <w:rFonts w:ascii="Arial" w:hAnsi="Arial" w:cs="Arial"/>
          <w:sz w:val="24"/>
          <w:szCs w:val="24"/>
        </w:rPr>
        <w:t>for the amount of</w:t>
      </w:r>
      <w:proofErr w:type="gramEnd"/>
      <w:r w:rsidRPr="00F7682A">
        <w:rPr>
          <w:rFonts w:ascii="Arial" w:hAnsi="Arial" w:cs="Arial"/>
          <w:sz w:val="24"/>
          <w:szCs w:val="24"/>
        </w:rPr>
        <w:t xml:space="preserve"> consideration KTSB expects to be entitled to retain.</w:t>
      </w:r>
    </w:p>
    <w:p w14:paraId="45C606E5" w14:textId="77777777" w:rsidR="00E6024C" w:rsidRPr="00F7682A" w:rsidRDefault="00E6024C" w:rsidP="00E6024C">
      <w:pPr>
        <w:pStyle w:val="ListParagraph"/>
        <w:numPr>
          <w:ilvl w:val="0"/>
          <w:numId w:val="11"/>
        </w:numPr>
        <w:rPr>
          <w:rFonts w:ascii="Arial" w:hAnsi="Arial" w:cs="Arial"/>
          <w:sz w:val="24"/>
          <w:szCs w:val="24"/>
        </w:rPr>
      </w:pPr>
      <w:r w:rsidRPr="00F7682A">
        <w:rPr>
          <w:rFonts w:ascii="Arial" w:hAnsi="Arial" w:cs="Arial"/>
          <w:sz w:val="24"/>
          <w:szCs w:val="24"/>
        </w:rPr>
        <w:t>Record a refund liability for expected customer refunds.</w:t>
      </w:r>
    </w:p>
    <w:p w14:paraId="59034E8A" w14:textId="77777777" w:rsidR="00E6024C" w:rsidRPr="00F7682A" w:rsidRDefault="00E6024C" w:rsidP="00E6024C">
      <w:pPr>
        <w:pStyle w:val="ListParagraph"/>
        <w:numPr>
          <w:ilvl w:val="0"/>
          <w:numId w:val="11"/>
        </w:numPr>
        <w:rPr>
          <w:rFonts w:ascii="Arial" w:hAnsi="Arial" w:cs="Arial"/>
          <w:sz w:val="24"/>
          <w:szCs w:val="24"/>
        </w:rPr>
      </w:pPr>
      <w:r w:rsidRPr="00F7682A">
        <w:rPr>
          <w:rFonts w:ascii="Arial" w:hAnsi="Arial" w:cs="Arial"/>
          <w:sz w:val="24"/>
          <w:szCs w:val="24"/>
        </w:rPr>
        <w:t>Record an asset for the right to recover products expected to be returned, adjusted for expected recovery costs and changes in the value of the products.</w:t>
      </w:r>
    </w:p>
    <w:p w14:paraId="0AA5B248" w14:textId="6EE8EBAE" w:rsidR="00E6024C" w:rsidRPr="00F7682A" w:rsidRDefault="00E6024C" w:rsidP="00E6024C">
      <w:pPr>
        <w:pStyle w:val="ListParagraph"/>
        <w:numPr>
          <w:ilvl w:val="0"/>
          <w:numId w:val="11"/>
        </w:numPr>
        <w:rPr>
          <w:rFonts w:ascii="Arial" w:hAnsi="Arial" w:cs="Arial"/>
          <w:sz w:val="24"/>
          <w:szCs w:val="24"/>
        </w:rPr>
      </w:pPr>
      <w:r w:rsidRPr="00F7682A">
        <w:rPr>
          <w:rFonts w:ascii="Arial" w:hAnsi="Arial" w:cs="Arial"/>
          <w:sz w:val="24"/>
          <w:szCs w:val="24"/>
        </w:rPr>
        <w:t>Update its estimates during the return period.</w:t>
      </w:r>
    </w:p>
    <w:p w14:paraId="6063CC3D" w14:textId="77777777" w:rsidR="00B10CCA" w:rsidRPr="00F7682A" w:rsidRDefault="00000000" w:rsidP="00B10CCA">
      <w:pPr>
        <w:rPr>
          <w:rFonts w:ascii="Arial" w:hAnsi="Arial" w:cs="Arial"/>
          <w:sz w:val="24"/>
          <w:szCs w:val="24"/>
        </w:rPr>
      </w:pPr>
      <w:r>
        <w:rPr>
          <w:rFonts w:ascii="Arial" w:hAnsi="Arial" w:cs="Arial"/>
          <w:sz w:val="24"/>
          <w:szCs w:val="24"/>
        </w:rPr>
        <w:pict w14:anchorId="0A08A431">
          <v:rect id="_x0000_i1026" style="width:0;height:1.5pt" o:hralign="center" o:hrstd="t" o:hr="t" fillcolor="#a0a0a0" stroked="f"/>
        </w:pict>
      </w:r>
    </w:p>
    <w:p w14:paraId="021A556C" w14:textId="77777777" w:rsidR="00596519" w:rsidRPr="00F7682A" w:rsidRDefault="00596519" w:rsidP="00596519">
      <w:pPr>
        <w:rPr>
          <w:rFonts w:ascii="Arial" w:hAnsi="Arial" w:cs="Arial"/>
          <w:b/>
          <w:bCs/>
          <w:sz w:val="24"/>
          <w:szCs w:val="24"/>
        </w:rPr>
      </w:pPr>
      <w:r w:rsidRPr="00F7682A">
        <w:rPr>
          <w:rFonts w:ascii="Arial" w:hAnsi="Arial" w:cs="Arial"/>
          <w:b/>
          <w:bCs/>
          <w:sz w:val="24"/>
          <w:szCs w:val="24"/>
        </w:rPr>
        <w:t>Issue 2: Manufacturer Coupon</w:t>
      </w:r>
    </w:p>
    <w:p w14:paraId="474BCDD3"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Impact on Revenue Recognition</w:t>
      </w:r>
    </w:p>
    <w:p w14:paraId="034101D4" w14:textId="3554D507" w:rsidR="00596519" w:rsidRPr="00F7682A" w:rsidRDefault="00596519" w:rsidP="00596519">
      <w:pPr>
        <w:rPr>
          <w:rFonts w:ascii="Arial" w:hAnsi="Arial" w:cs="Arial"/>
          <w:sz w:val="24"/>
          <w:szCs w:val="24"/>
        </w:rPr>
      </w:pPr>
      <w:r w:rsidRPr="00F7682A">
        <w:rPr>
          <w:rFonts w:ascii="Arial" w:hAnsi="Arial" w:cs="Arial"/>
          <w:sz w:val="24"/>
          <w:szCs w:val="24"/>
        </w:rPr>
        <w:t xml:space="preserve">KTSB provides customers with a $100 manufacturer coupon that may be redeemed through KTSB or Ramesses II. KTSB reimburses Ramesses II for coupons redeemed by its customers. Because KTSB expects to </w:t>
      </w:r>
      <w:r w:rsidR="00F7682A">
        <w:rPr>
          <w:rFonts w:ascii="Arial" w:hAnsi="Arial" w:cs="Arial"/>
          <w:sz w:val="24"/>
          <w:szCs w:val="24"/>
        </w:rPr>
        <w:t xml:space="preserve">offer a $100 discount to customers who redeem the coupon, the coupon arrangement may reduce the transaction price and the </w:t>
      </w:r>
      <w:r w:rsidRPr="00F7682A">
        <w:rPr>
          <w:rFonts w:ascii="Arial" w:hAnsi="Arial" w:cs="Arial"/>
          <w:sz w:val="24"/>
          <w:szCs w:val="24"/>
        </w:rPr>
        <w:t>revenue recognized by KTSB.</w:t>
      </w:r>
    </w:p>
    <w:p w14:paraId="6FEFDFAE"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Authoritative Guidance</w:t>
      </w:r>
    </w:p>
    <w:p w14:paraId="1E2B8B04" w14:textId="77777777" w:rsidR="00596519" w:rsidRPr="00F7682A" w:rsidRDefault="00596519" w:rsidP="00596519">
      <w:pPr>
        <w:rPr>
          <w:rFonts w:ascii="Arial" w:hAnsi="Arial" w:cs="Arial"/>
          <w:sz w:val="24"/>
          <w:szCs w:val="24"/>
        </w:rPr>
      </w:pPr>
      <w:r w:rsidRPr="00F7682A">
        <w:rPr>
          <w:rFonts w:ascii="Arial" w:hAnsi="Arial" w:cs="Arial"/>
          <w:sz w:val="24"/>
          <w:szCs w:val="24"/>
        </w:rPr>
        <w:t>ASC 606:</w:t>
      </w:r>
    </w:p>
    <w:p w14:paraId="72F11D12" w14:textId="77777777" w:rsidR="00596519" w:rsidRPr="00F7682A" w:rsidRDefault="00596519" w:rsidP="00596519">
      <w:pPr>
        <w:rPr>
          <w:rFonts w:ascii="Arial" w:hAnsi="Arial" w:cs="Arial"/>
          <w:sz w:val="24"/>
          <w:szCs w:val="24"/>
        </w:rPr>
      </w:pPr>
      <w:r w:rsidRPr="00F7682A">
        <w:rPr>
          <w:rFonts w:ascii="Arial" w:hAnsi="Arial" w:cs="Arial"/>
          <w:sz w:val="24"/>
          <w:szCs w:val="24"/>
        </w:rPr>
        <w:t>Topic 606, Revenue from Contracts with Customers</w:t>
      </w:r>
    </w:p>
    <w:p w14:paraId="26F52C62" w14:textId="77777777" w:rsidR="00596519" w:rsidRPr="00F7682A" w:rsidRDefault="00596519" w:rsidP="00596519">
      <w:pPr>
        <w:rPr>
          <w:rFonts w:ascii="Arial" w:hAnsi="Arial" w:cs="Arial"/>
          <w:sz w:val="24"/>
          <w:szCs w:val="24"/>
        </w:rPr>
      </w:pPr>
      <w:r w:rsidRPr="00F7682A">
        <w:rPr>
          <w:rFonts w:ascii="Arial" w:hAnsi="Arial" w:cs="Arial"/>
          <w:sz w:val="24"/>
          <w:szCs w:val="24"/>
        </w:rPr>
        <w:t>Subtopic 606-10, Overall</w:t>
      </w:r>
    </w:p>
    <w:p w14:paraId="26B4745C" w14:textId="77777777" w:rsidR="00596519" w:rsidRPr="00F7682A" w:rsidRDefault="00596519" w:rsidP="00596519">
      <w:pPr>
        <w:rPr>
          <w:rFonts w:ascii="Arial" w:hAnsi="Arial" w:cs="Arial"/>
          <w:sz w:val="24"/>
          <w:szCs w:val="24"/>
        </w:rPr>
      </w:pPr>
      <w:r w:rsidRPr="00F7682A">
        <w:rPr>
          <w:rFonts w:ascii="Arial" w:hAnsi="Arial" w:cs="Arial"/>
          <w:sz w:val="24"/>
          <w:szCs w:val="24"/>
        </w:rPr>
        <w:t>Section 32, Determine the Transaction Price</w:t>
      </w:r>
    </w:p>
    <w:p w14:paraId="73E0AF35" w14:textId="77777777" w:rsidR="00596519" w:rsidRPr="00F7682A" w:rsidRDefault="00596519" w:rsidP="00596519">
      <w:pPr>
        <w:rPr>
          <w:rFonts w:ascii="Arial" w:hAnsi="Arial" w:cs="Arial"/>
          <w:sz w:val="24"/>
          <w:szCs w:val="24"/>
        </w:rPr>
      </w:pPr>
      <w:r w:rsidRPr="00F7682A">
        <w:rPr>
          <w:rFonts w:ascii="Arial" w:hAnsi="Arial" w:cs="Arial"/>
          <w:sz w:val="24"/>
          <w:szCs w:val="24"/>
        </w:rPr>
        <w:t>ASC 606-10-32-25 through 32-27, Consideration Payable to a Customer</w:t>
      </w:r>
    </w:p>
    <w:p w14:paraId="0DAE7087"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Analysis</w:t>
      </w:r>
    </w:p>
    <w:p w14:paraId="6B3E11F3" w14:textId="77777777" w:rsidR="00596519" w:rsidRPr="00F7682A" w:rsidRDefault="00596519" w:rsidP="00596519">
      <w:pPr>
        <w:rPr>
          <w:rFonts w:ascii="Arial" w:hAnsi="Arial" w:cs="Arial"/>
          <w:sz w:val="24"/>
          <w:szCs w:val="24"/>
        </w:rPr>
      </w:pPr>
      <w:r w:rsidRPr="00F7682A">
        <w:rPr>
          <w:rFonts w:ascii="Arial" w:hAnsi="Arial" w:cs="Arial"/>
          <w:sz w:val="24"/>
          <w:szCs w:val="24"/>
        </w:rPr>
        <w:t>ASC 606-10-32-25 states that consideration payable to a customer includes cash amounts paid or expected to be paid to a customer or to other parties that purchase the entity's goods or services from the customer. The guidance also specifically includes coupons and vouchers. Such consideration is generally accounted for as a reduction of the transaction price and revenue unless the payment is in exchange for a distinct good or service transferred by the customer.</w:t>
      </w:r>
    </w:p>
    <w:p w14:paraId="64660D57" w14:textId="16D7AE15" w:rsidR="00596519" w:rsidRPr="00F7682A" w:rsidRDefault="00596519" w:rsidP="00596519">
      <w:pPr>
        <w:rPr>
          <w:rFonts w:ascii="Arial" w:hAnsi="Arial" w:cs="Arial"/>
          <w:sz w:val="24"/>
          <w:szCs w:val="24"/>
        </w:rPr>
      </w:pPr>
      <w:r w:rsidRPr="00F7682A">
        <w:rPr>
          <w:rFonts w:ascii="Arial" w:hAnsi="Arial" w:cs="Arial"/>
          <w:sz w:val="24"/>
          <w:szCs w:val="24"/>
        </w:rPr>
        <w:t>In this arrangement, KTSB reimburses Ramesses II for the $100 coupons redeemed by Ramesses II's customers. The reimbursement is related to the sale of KTSB's Model E computers and does not represent payment for a distinct good or service provided by Ramesses II. Therefore, KTSB should account for the expected coupon reimbursements as a reduction of the transaction price and revenue. (Financial Accounting Standards Board [FASB], 2014).</w:t>
      </w:r>
    </w:p>
    <w:p w14:paraId="2D630B62"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Recommendation</w:t>
      </w:r>
    </w:p>
    <w:p w14:paraId="01658815" w14:textId="77777777" w:rsidR="00596519" w:rsidRPr="00F7682A" w:rsidRDefault="00596519" w:rsidP="00596519">
      <w:pPr>
        <w:rPr>
          <w:rFonts w:ascii="Arial" w:hAnsi="Arial" w:cs="Arial"/>
          <w:sz w:val="24"/>
          <w:szCs w:val="24"/>
        </w:rPr>
      </w:pPr>
      <w:r w:rsidRPr="00F7682A">
        <w:rPr>
          <w:rFonts w:ascii="Arial" w:hAnsi="Arial" w:cs="Arial"/>
          <w:sz w:val="24"/>
          <w:szCs w:val="24"/>
        </w:rPr>
        <w:t>KTSB should:</w:t>
      </w:r>
    </w:p>
    <w:p w14:paraId="4D00BED2" w14:textId="77777777" w:rsidR="00596519" w:rsidRPr="00F7682A" w:rsidRDefault="00596519" w:rsidP="00596519">
      <w:pPr>
        <w:pStyle w:val="ListParagraph"/>
        <w:numPr>
          <w:ilvl w:val="0"/>
          <w:numId w:val="12"/>
        </w:numPr>
        <w:rPr>
          <w:rFonts w:ascii="Arial" w:hAnsi="Arial" w:cs="Arial"/>
          <w:sz w:val="24"/>
          <w:szCs w:val="24"/>
        </w:rPr>
      </w:pPr>
      <w:r w:rsidRPr="00F7682A">
        <w:rPr>
          <w:rFonts w:ascii="Arial" w:hAnsi="Arial" w:cs="Arial"/>
          <w:sz w:val="24"/>
          <w:szCs w:val="24"/>
        </w:rPr>
        <w:t>Estimate the amount of coupon redemptions expected to occur.</w:t>
      </w:r>
    </w:p>
    <w:p w14:paraId="30A56A4D" w14:textId="77777777" w:rsidR="00596519" w:rsidRPr="00F7682A" w:rsidRDefault="00596519" w:rsidP="00596519">
      <w:pPr>
        <w:pStyle w:val="ListParagraph"/>
        <w:numPr>
          <w:ilvl w:val="0"/>
          <w:numId w:val="12"/>
        </w:numPr>
        <w:rPr>
          <w:rFonts w:ascii="Arial" w:hAnsi="Arial" w:cs="Arial"/>
          <w:sz w:val="24"/>
          <w:szCs w:val="24"/>
        </w:rPr>
      </w:pPr>
      <w:r w:rsidRPr="00F7682A">
        <w:rPr>
          <w:rFonts w:ascii="Arial" w:hAnsi="Arial" w:cs="Arial"/>
          <w:sz w:val="24"/>
          <w:szCs w:val="24"/>
        </w:rPr>
        <w:t>Reduce the transaction price by the amount of consideration payable related to expected coupon redemptions.</w:t>
      </w:r>
    </w:p>
    <w:p w14:paraId="54EBCC43" w14:textId="77777777" w:rsidR="00596519" w:rsidRPr="00F7682A" w:rsidRDefault="00596519" w:rsidP="00596519">
      <w:pPr>
        <w:pStyle w:val="ListParagraph"/>
        <w:numPr>
          <w:ilvl w:val="0"/>
          <w:numId w:val="12"/>
        </w:numPr>
        <w:rPr>
          <w:rFonts w:ascii="Arial" w:hAnsi="Arial" w:cs="Arial"/>
          <w:sz w:val="24"/>
          <w:szCs w:val="24"/>
        </w:rPr>
      </w:pPr>
      <w:r w:rsidRPr="00F7682A">
        <w:rPr>
          <w:rFonts w:ascii="Arial" w:hAnsi="Arial" w:cs="Arial"/>
          <w:sz w:val="24"/>
          <w:szCs w:val="24"/>
        </w:rPr>
        <w:t>Recognize a liability for expected coupon reimbursements when appropriate.</w:t>
      </w:r>
    </w:p>
    <w:p w14:paraId="1EC586D6" w14:textId="77777777" w:rsidR="00596519" w:rsidRPr="00F7682A" w:rsidRDefault="00596519" w:rsidP="00596519">
      <w:pPr>
        <w:pStyle w:val="ListParagraph"/>
        <w:numPr>
          <w:ilvl w:val="0"/>
          <w:numId w:val="12"/>
        </w:numPr>
        <w:rPr>
          <w:rFonts w:ascii="Arial" w:hAnsi="Arial" w:cs="Arial"/>
          <w:sz w:val="24"/>
          <w:szCs w:val="24"/>
        </w:rPr>
      </w:pPr>
      <w:r w:rsidRPr="00F7682A">
        <w:rPr>
          <w:rFonts w:ascii="Arial" w:hAnsi="Arial" w:cs="Arial"/>
          <w:sz w:val="24"/>
          <w:szCs w:val="24"/>
        </w:rPr>
        <w:t>Update the estimate as actual redemption information becomes available.</w:t>
      </w:r>
    </w:p>
    <w:p w14:paraId="264710B8" w14:textId="77777777" w:rsidR="00B10CCA" w:rsidRPr="00F7682A" w:rsidRDefault="00000000" w:rsidP="00B10CCA">
      <w:pPr>
        <w:rPr>
          <w:rFonts w:ascii="Arial" w:hAnsi="Arial" w:cs="Arial"/>
          <w:sz w:val="24"/>
          <w:szCs w:val="24"/>
        </w:rPr>
      </w:pPr>
      <w:r>
        <w:rPr>
          <w:rFonts w:ascii="Arial" w:hAnsi="Arial" w:cs="Arial"/>
          <w:sz w:val="24"/>
          <w:szCs w:val="24"/>
        </w:rPr>
        <w:pict w14:anchorId="088FA4AD">
          <v:rect id="_x0000_i1027" style="width:0;height:1.5pt" o:hralign="center" o:hrstd="t" o:hr="t" fillcolor="#a0a0a0" stroked="f"/>
        </w:pict>
      </w:r>
    </w:p>
    <w:p w14:paraId="7D220DB3" w14:textId="77777777" w:rsidR="00596519" w:rsidRPr="00F7682A" w:rsidRDefault="00596519" w:rsidP="00596519">
      <w:pPr>
        <w:rPr>
          <w:rFonts w:ascii="Arial" w:hAnsi="Arial" w:cs="Arial"/>
          <w:b/>
          <w:bCs/>
          <w:sz w:val="24"/>
          <w:szCs w:val="24"/>
        </w:rPr>
      </w:pPr>
      <w:r w:rsidRPr="00F7682A">
        <w:rPr>
          <w:rFonts w:ascii="Arial" w:hAnsi="Arial" w:cs="Arial"/>
          <w:b/>
          <w:bCs/>
          <w:sz w:val="24"/>
          <w:szCs w:val="24"/>
        </w:rPr>
        <w:t>Issue 3: Gift Card Commission</w:t>
      </w:r>
    </w:p>
    <w:p w14:paraId="0301C66C" w14:textId="7086C435"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Impact on Revenue Recognition</w:t>
      </w:r>
    </w:p>
    <w:p w14:paraId="13454AA5" w14:textId="55264B74" w:rsidR="00596519" w:rsidRPr="00F7682A" w:rsidRDefault="00596519" w:rsidP="00596519">
      <w:pPr>
        <w:rPr>
          <w:rFonts w:ascii="Arial" w:hAnsi="Arial" w:cs="Arial"/>
          <w:sz w:val="24"/>
          <w:szCs w:val="24"/>
        </w:rPr>
      </w:pPr>
      <w:r w:rsidRPr="00F7682A">
        <w:rPr>
          <w:rFonts w:ascii="Arial" w:hAnsi="Arial" w:cs="Arial"/>
          <w:sz w:val="24"/>
          <w:szCs w:val="24"/>
        </w:rPr>
        <w:t xml:space="preserve">Ramesses II sells KTSB gift cards at its kiosks and receives a 3% commission on the value of the gift cards sold. Because Ramesses II is a customer in the computer sales arrangement and receives consideration from KTSB, KTSB must determine whether the 3% commission </w:t>
      </w:r>
      <w:r w:rsidR="00F7682A">
        <w:rPr>
          <w:rFonts w:ascii="Arial" w:hAnsi="Arial" w:cs="Arial"/>
          <w:sz w:val="24"/>
          <w:szCs w:val="24"/>
        </w:rPr>
        <w:t xml:space="preserve">constitutes payment for a distinct service provided by Ramesses II or whether some or </w:t>
      </w:r>
      <w:proofErr w:type="gramStart"/>
      <w:r w:rsidR="00F7682A">
        <w:rPr>
          <w:rFonts w:ascii="Arial" w:hAnsi="Arial" w:cs="Arial"/>
          <w:sz w:val="24"/>
          <w:szCs w:val="24"/>
        </w:rPr>
        <w:t>all of</w:t>
      </w:r>
      <w:proofErr w:type="gramEnd"/>
      <w:r w:rsidR="00F7682A">
        <w:rPr>
          <w:rFonts w:ascii="Arial" w:hAnsi="Arial" w:cs="Arial"/>
          <w:sz w:val="24"/>
          <w:szCs w:val="24"/>
        </w:rPr>
        <w:t xml:space="preserve"> the payment should be applied to </w:t>
      </w:r>
      <w:r w:rsidRPr="00F7682A">
        <w:rPr>
          <w:rFonts w:ascii="Arial" w:hAnsi="Arial" w:cs="Arial"/>
          <w:sz w:val="24"/>
          <w:szCs w:val="24"/>
        </w:rPr>
        <w:t>reduce the transaction price.</w:t>
      </w:r>
    </w:p>
    <w:p w14:paraId="080309FB"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Authoritative Guidance</w:t>
      </w:r>
    </w:p>
    <w:p w14:paraId="35E68874" w14:textId="77777777" w:rsidR="00596519" w:rsidRPr="00F7682A" w:rsidRDefault="00596519" w:rsidP="00596519">
      <w:pPr>
        <w:rPr>
          <w:rFonts w:ascii="Arial" w:hAnsi="Arial" w:cs="Arial"/>
          <w:sz w:val="24"/>
          <w:szCs w:val="24"/>
        </w:rPr>
      </w:pPr>
      <w:r w:rsidRPr="00F7682A">
        <w:rPr>
          <w:rFonts w:ascii="Arial" w:hAnsi="Arial" w:cs="Arial"/>
          <w:sz w:val="24"/>
          <w:szCs w:val="24"/>
        </w:rPr>
        <w:t>ASC 606:</w:t>
      </w:r>
    </w:p>
    <w:p w14:paraId="6AD7CE34" w14:textId="77777777" w:rsidR="00596519" w:rsidRPr="00F7682A" w:rsidRDefault="00596519" w:rsidP="00596519">
      <w:pPr>
        <w:rPr>
          <w:rFonts w:ascii="Arial" w:hAnsi="Arial" w:cs="Arial"/>
          <w:sz w:val="24"/>
          <w:szCs w:val="24"/>
        </w:rPr>
      </w:pPr>
      <w:r w:rsidRPr="00F7682A">
        <w:rPr>
          <w:rFonts w:ascii="Arial" w:hAnsi="Arial" w:cs="Arial"/>
          <w:sz w:val="24"/>
          <w:szCs w:val="24"/>
        </w:rPr>
        <w:t>Topic 606, Revenue from Contracts with Customers</w:t>
      </w:r>
    </w:p>
    <w:p w14:paraId="740E8E0F" w14:textId="77777777" w:rsidR="00596519" w:rsidRPr="00F7682A" w:rsidRDefault="00596519" w:rsidP="00596519">
      <w:pPr>
        <w:rPr>
          <w:rFonts w:ascii="Arial" w:hAnsi="Arial" w:cs="Arial"/>
          <w:sz w:val="24"/>
          <w:szCs w:val="24"/>
        </w:rPr>
      </w:pPr>
      <w:r w:rsidRPr="00F7682A">
        <w:rPr>
          <w:rFonts w:ascii="Arial" w:hAnsi="Arial" w:cs="Arial"/>
          <w:sz w:val="24"/>
          <w:szCs w:val="24"/>
        </w:rPr>
        <w:t>Subtopic 606-10, Overall</w:t>
      </w:r>
    </w:p>
    <w:p w14:paraId="6D6CC850" w14:textId="77777777" w:rsidR="00596519" w:rsidRPr="00F7682A" w:rsidRDefault="00596519" w:rsidP="00596519">
      <w:pPr>
        <w:rPr>
          <w:rFonts w:ascii="Arial" w:hAnsi="Arial" w:cs="Arial"/>
          <w:sz w:val="24"/>
          <w:szCs w:val="24"/>
        </w:rPr>
      </w:pPr>
      <w:r w:rsidRPr="00F7682A">
        <w:rPr>
          <w:rFonts w:ascii="Arial" w:hAnsi="Arial" w:cs="Arial"/>
          <w:sz w:val="24"/>
          <w:szCs w:val="24"/>
        </w:rPr>
        <w:t>Section 32, Determine the Transaction Price</w:t>
      </w:r>
    </w:p>
    <w:p w14:paraId="014D9070" w14:textId="77777777" w:rsidR="00596519" w:rsidRPr="00F7682A" w:rsidRDefault="00596519" w:rsidP="00596519">
      <w:pPr>
        <w:rPr>
          <w:rFonts w:ascii="Arial" w:hAnsi="Arial" w:cs="Arial"/>
          <w:sz w:val="24"/>
          <w:szCs w:val="24"/>
        </w:rPr>
      </w:pPr>
      <w:r w:rsidRPr="00F7682A">
        <w:rPr>
          <w:rFonts w:ascii="Arial" w:hAnsi="Arial" w:cs="Arial"/>
          <w:sz w:val="24"/>
          <w:szCs w:val="24"/>
        </w:rPr>
        <w:t>ASC 606-10-32-25 through 32-27, Consideration Payable to a Customer</w:t>
      </w:r>
    </w:p>
    <w:p w14:paraId="17AAD768" w14:textId="77777777" w:rsidR="00596519" w:rsidRPr="00F7682A" w:rsidRDefault="00596519" w:rsidP="00596519">
      <w:pPr>
        <w:rPr>
          <w:rFonts w:ascii="Arial" w:hAnsi="Arial" w:cs="Arial"/>
          <w:sz w:val="24"/>
          <w:szCs w:val="24"/>
        </w:rPr>
      </w:pPr>
      <w:r w:rsidRPr="00F7682A">
        <w:rPr>
          <w:rFonts w:ascii="Arial" w:hAnsi="Arial" w:cs="Arial"/>
          <w:sz w:val="24"/>
          <w:szCs w:val="24"/>
        </w:rPr>
        <w:t>ASC 606-10-25-18 through 25-22, Distinct Goods or Services</w:t>
      </w:r>
    </w:p>
    <w:p w14:paraId="10166589"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Analysis</w:t>
      </w:r>
    </w:p>
    <w:p w14:paraId="6B1242FB" w14:textId="77777777" w:rsidR="00596519" w:rsidRPr="00F7682A" w:rsidRDefault="00596519" w:rsidP="00596519">
      <w:pPr>
        <w:rPr>
          <w:rFonts w:ascii="Arial" w:hAnsi="Arial" w:cs="Arial"/>
          <w:sz w:val="24"/>
          <w:szCs w:val="24"/>
        </w:rPr>
      </w:pPr>
      <w:r w:rsidRPr="00F7682A">
        <w:rPr>
          <w:rFonts w:ascii="Arial" w:hAnsi="Arial" w:cs="Arial"/>
          <w:sz w:val="24"/>
          <w:szCs w:val="24"/>
        </w:rPr>
        <w:t>ASC 606-10-32-25 requires an entity to account for consideration payable to a customer as a reduction of the transaction price and revenue unless the payment is in exchange for a distinct good or service transferred by the customer. ASC 606-10-32-26 further provides that if the payment is for a distinct good or service, the entity accounts for the purchase of that service in the same manner as other purchases from suppliers. However, if the payment exceeds the fair value of the distinct good or service, the excess is accounted for as a reduction of the transaction price. (FASB, 2014).</w:t>
      </w:r>
    </w:p>
    <w:p w14:paraId="2BB15D74" w14:textId="698D80F5" w:rsidR="00596519" w:rsidRPr="00F7682A" w:rsidRDefault="00596519" w:rsidP="00596519">
      <w:pPr>
        <w:rPr>
          <w:rFonts w:ascii="Arial" w:hAnsi="Arial" w:cs="Arial"/>
          <w:sz w:val="24"/>
          <w:szCs w:val="24"/>
        </w:rPr>
      </w:pPr>
      <w:r w:rsidRPr="00F7682A">
        <w:rPr>
          <w:rFonts w:ascii="Arial" w:hAnsi="Arial" w:cs="Arial"/>
          <w:sz w:val="24"/>
          <w:szCs w:val="24"/>
        </w:rPr>
        <w:t>Therefore, KTSB should not automatically treat the entire 3% commission as a reduction of revenue or as a normal selling expense. KTSB should determine whether Ramesses II is providing a distinct service by selling KTSB's gift cards and whether the 3% commission represents the fair value of that service. The 2.5% industry-standard commission provides information that may help management evaluate the fair value of the service</w:t>
      </w:r>
      <w:r w:rsidR="00F7682A">
        <w:rPr>
          <w:rFonts w:ascii="Arial" w:hAnsi="Arial" w:cs="Arial"/>
          <w:sz w:val="24"/>
          <w:szCs w:val="24"/>
        </w:rPr>
        <w:t>. Still, management</w:t>
      </w:r>
      <w:r w:rsidRPr="00F7682A">
        <w:rPr>
          <w:rFonts w:ascii="Arial" w:hAnsi="Arial" w:cs="Arial"/>
          <w:sz w:val="24"/>
          <w:szCs w:val="24"/>
        </w:rPr>
        <w:t xml:space="preserve"> should determine the appropriate fair value based on the facts and circumstances.</w:t>
      </w:r>
    </w:p>
    <w:p w14:paraId="4E5AFF22"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Recommendation</w:t>
      </w:r>
    </w:p>
    <w:p w14:paraId="12C9817B" w14:textId="77777777" w:rsidR="00596519" w:rsidRPr="00F7682A" w:rsidRDefault="00596519" w:rsidP="00596519">
      <w:pPr>
        <w:rPr>
          <w:rFonts w:ascii="Arial" w:hAnsi="Arial" w:cs="Arial"/>
          <w:sz w:val="24"/>
          <w:szCs w:val="24"/>
        </w:rPr>
      </w:pPr>
      <w:r w:rsidRPr="00F7682A">
        <w:rPr>
          <w:rFonts w:ascii="Arial" w:hAnsi="Arial" w:cs="Arial"/>
          <w:sz w:val="24"/>
          <w:szCs w:val="24"/>
        </w:rPr>
        <w:t>KTSB should:</w:t>
      </w:r>
    </w:p>
    <w:p w14:paraId="5782BDD5" w14:textId="77777777" w:rsidR="00596519" w:rsidRPr="00F7682A" w:rsidRDefault="00596519" w:rsidP="009C613C">
      <w:pPr>
        <w:pStyle w:val="ListParagraph"/>
        <w:numPr>
          <w:ilvl w:val="0"/>
          <w:numId w:val="13"/>
        </w:numPr>
        <w:rPr>
          <w:rFonts w:ascii="Arial" w:hAnsi="Arial" w:cs="Arial"/>
          <w:sz w:val="24"/>
          <w:szCs w:val="24"/>
        </w:rPr>
      </w:pPr>
      <w:r w:rsidRPr="00F7682A">
        <w:rPr>
          <w:rFonts w:ascii="Arial" w:hAnsi="Arial" w:cs="Arial"/>
          <w:sz w:val="24"/>
          <w:szCs w:val="24"/>
        </w:rPr>
        <w:t>Determine whether Ramesses II provides a distinct service by selling KTSB gift cards.</w:t>
      </w:r>
    </w:p>
    <w:p w14:paraId="4DB982AC" w14:textId="77777777" w:rsidR="00596519" w:rsidRPr="00F7682A" w:rsidRDefault="00596519" w:rsidP="009C613C">
      <w:pPr>
        <w:pStyle w:val="ListParagraph"/>
        <w:numPr>
          <w:ilvl w:val="0"/>
          <w:numId w:val="13"/>
        </w:numPr>
        <w:rPr>
          <w:rFonts w:ascii="Arial" w:hAnsi="Arial" w:cs="Arial"/>
          <w:sz w:val="24"/>
          <w:szCs w:val="24"/>
        </w:rPr>
      </w:pPr>
      <w:r w:rsidRPr="00F7682A">
        <w:rPr>
          <w:rFonts w:ascii="Arial" w:hAnsi="Arial" w:cs="Arial"/>
          <w:sz w:val="24"/>
          <w:szCs w:val="24"/>
        </w:rPr>
        <w:t>Determine the fair value of the service provided by Ramesses II.</w:t>
      </w:r>
    </w:p>
    <w:p w14:paraId="60D6E8B5" w14:textId="77777777" w:rsidR="00596519" w:rsidRPr="00F7682A" w:rsidRDefault="00596519" w:rsidP="009C613C">
      <w:pPr>
        <w:pStyle w:val="ListParagraph"/>
        <w:numPr>
          <w:ilvl w:val="0"/>
          <w:numId w:val="13"/>
        </w:numPr>
        <w:rPr>
          <w:rFonts w:ascii="Arial" w:hAnsi="Arial" w:cs="Arial"/>
          <w:sz w:val="24"/>
          <w:szCs w:val="24"/>
        </w:rPr>
      </w:pPr>
      <w:r w:rsidRPr="00F7682A">
        <w:rPr>
          <w:rFonts w:ascii="Arial" w:hAnsi="Arial" w:cs="Arial"/>
          <w:sz w:val="24"/>
          <w:szCs w:val="24"/>
        </w:rPr>
        <w:t>Account for the portion of the 3% commission that represents the fair value of a distinct service as the cost of that service.</w:t>
      </w:r>
    </w:p>
    <w:p w14:paraId="2FAA5AFF" w14:textId="77777777" w:rsidR="00596519" w:rsidRPr="00F7682A" w:rsidRDefault="00596519" w:rsidP="009C613C">
      <w:pPr>
        <w:pStyle w:val="ListParagraph"/>
        <w:numPr>
          <w:ilvl w:val="0"/>
          <w:numId w:val="13"/>
        </w:numPr>
        <w:rPr>
          <w:rFonts w:ascii="Arial" w:hAnsi="Arial" w:cs="Arial"/>
          <w:sz w:val="24"/>
          <w:szCs w:val="24"/>
        </w:rPr>
      </w:pPr>
      <w:r w:rsidRPr="00F7682A">
        <w:rPr>
          <w:rFonts w:ascii="Arial" w:hAnsi="Arial" w:cs="Arial"/>
          <w:sz w:val="24"/>
          <w:szCs w:val="24"/>
        </w:rPr>
        <w:t>Account for any amount of the commission that exceeds the fair value of the distinct service as consideration payable to a customer and therefore as a reduction of the transaction price and revenue.</w:t>
      </w:r>
    </w:p>
    <w:p w14:paraId="707A6C7C" w14:textId="41E74B30" w:rsidR="00B10CCA" w:rsidRPr="00F7682A" w:rsidRDefault="00596519" w:rsidP="009C613C">
      <w:pPr>
        <w:pStyle w:val="ListParagraph"/>
        <w:numPr>
          <w:ilvl w:val="0"/>
          <w:numId w:val="13"/>
        </w:numPr>
        <w:rPr>
          <w:rFonts w:ascii="Arial" w:hAnsi="Arial" w:cs="Arial"/>
          <w:sz w:val="24"/>
          <w:szCs w:val="24"/>
        </w:rPr>
      </w:pPr>
      <w:r w:rsidRPr="00F7682A">
        <w:rPr>
          <w:rFonts w:ascii="Arial" w:hAnsi="Arial" w:cs="Arial"/>
          <w:sz w:val="24"/>
          <w:szCs w:val="24"/>
        </w:rPr>
        <w:t xml:space="preserve">Document the basis used to determine the fair value of the service and reassess </w:t>
      </w:r>
      <w:r w:rsidR="009C613C" w:rsidRPr="00F7682A">
        <w:rPr>
          <w:rFonts w:ascii="Arial" w:hAnsi="Arial" w:cs="Arial"/>
          <w:sz w:val="24"/>
          <w:szCs w:val="24"/>
        </w:rPr>
        <w:t>accounting if the facts and circumstances change.</w:t>
      </w:r>
    </w:p>
    <w:p w14:paraId="23A0B813" w14:textId="77777777" w:rsidR="00B10CCA" w:rsidRPr="00F7682A" w:rsidRDefault="00000000" w:rsidP="00B10CCA">
      <w:pPr>
        <w:rPr>
          <w:rFonts w:ascii="Arial" w:hAnsi="Arial" w:cs="Arial"/>
          <w:sz w:val="24"/>
          <w:szCs w:val="24"/>
        </w:rPr>
      </w:pPr>
      <w:r>
        <w:rPr>
          <w:rFonts w:ascii="Arial" w:hAnsi="Arial" w:cs="Arial"/>
          <w:sz w:val="24"/>
          <w:szCs w:val="24"/>
        </w:rPr>
        <w:pict w14:anchorId="09AD2F28">
          <v:rect id="_x0000_i1028" style="width:0;height:1.5pt" o:hralign="center" o:hrstd="t" o:hr="t" fillcolor="#a0a0a0" stroked="f"/>
        </w:pict>
      </w:r>
    </w:p>
    <w:p w14:paraId="02E1C0B4" w14:textId="77777777" w:rsidR="00596519" w:rsidRPr="00F7682A" w:rsidRDefault="00596519" w:rsidP="00596519">
      <w:pPr>
        <w:rPr>
          <w:rFonts w:ascii="Arial" w:hAnsi="Arial" w:cs="Arial"/>
          <w:b/>
          <w:bCs/>
          <w:sz w:val="24"/>
          <w:szCs w:val="24"/>
        </w:rPr>
      </w:pPr>
      <w:r w:rsidRPr="00F7682A">
        <w:rPr>
          <w:rFonts w:ascii="Arial" w:hAnsi="Arial" w:cs="Arial"/>
          <w:b/>
          <w:bCs/>
          <w:sz w:val="24"/>
          <w:szCs w:val="24"/>
        </w:rPr>
        <w:t>Issue 4: Warranty, Refund, and Exchange Program</w:t>
      </w:r>
    </w:p>
    <w:p w14:paraId="29AA63CD"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Impact on Revenue Recognition</w:t>
      </w:r>
    </w:p>
    <w:p w14:paraId="62E95BB2" w14:textId="46944241" w:rsidR="00596519" w:rsidRPr="00F7682A" w:rsidRDefault="00596519" w:rsidP="00596519">
      <w:pPr>
        <w:rPr>
          <w:rFonts w:ascii="Arial" w:hAnsi="Arial" w:cs="Arial"/>
          <w:sz w:val="24"/>
          <w:szCs w:val="24"/>
        </w:rPr>
      </w:pPr>
      <w:r w:rsidRPr="00F7682A">
        <w:rPr>
          <w:rFonts w:ascii="Arial" w:hAnsi="Arial" w:cs="Arial"/>
          <w:sz w:val="24"/>
          <w:szCs w:val="24"/>
        </w:rPr>
        <w:t xml:space="preserve">Ramesses II will accept warranty claims for Model E computers during the first year after </w:t>
      </w:r>
      <w:r w:rsidR="00F7682A">
        <w:rPr>
          <w:rFonts w:ascii="Arial" w:hAnsi="Arial" w:cs="Arial"/>
          <w:sz w:val="24"/>
          <w:szCs w:val="24"/>
        </w:rPr>
        <w:t>purchase</w:t>
      </w:r>
      <w:r w:rsidRPr="00F7682A">
        <w:rPr>
          <w:rFonts w:ascii="Arial" w:hAnsi="Arial" w:cs="Arial"/>
          <w:sz w:val="24"/>
          <w:szCs w:val="24"/>
        </w:rPr>
        <w:t>. Ramesses II will provide customers with the option of a refund or an exchange for a new Model E, and KTSB will reimburse Ramesses II for the refund or exchange amount and shipping costs. This arrangement requires KTSB to determine whether the warranty provides only assurance that the computer complies with agreed-upon specifications or whether it provides an additional service to the customer.</w:t>
      </w:r>
    </w:p>
    <w:p w14:paraId="2D6FB2BA"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Authoritative Guidance</w:t>
      </w:r>
    </w:p>
    <w:p w14:paraId="73557D84" w14:textId="77777777" w:rsidR="00596519" w:rsidRPr="00F7682A" w:rsidRDefault="00596519" w:rsidP="00596519">
      <w:pPr>
        <w:rPr>
          <w:rFonts w:ascii="Arial" w:hAnsi="Arial" w:cs="Arial"/>
          <w:sz w:val="24"/>
          <w:szCs w:val="24"/>
        </w:rPr>
      </w:pPr>
      <w:r w:rsidRPr="00F7682A">
        <w:rPr>
          <w:rFonts w:ascii="Arial" w:hAnsi="Arial" w:cs="Arial"/>
          <w:sz w:val="24"/>
          <w:szCs w:val="24"/>
        </w:rPr>
        <w:t>ASC 606:</w:t>
      </w:r>
    </w:p>
    <w:p w14:paraId="3F3C5E13" w14:textId="77777777" w:rsidR="00596519" w:rsidRPr="00F7682A" w:rsidRDefault="00596519" w:rsidP="00596519">
      <w:pPr>
        <w:rPr>
          <w:rFonts w:ascii="Arial" w:hAnsi="Arial" w:cs="Arial"/>
          <w:sz w:val="24"/>
          <w:szCs w:val="24"/>
        </w:rPr>
      </w:pPr>
      <w:r w:rsidRPr="00F7682A">
        <w:rPr>
          <w:rFonts w:ascii="Arial" w:hAnsi="Arial" w:cs="Arial"/>
          <w:sz w:val="24"/>
          <w:szCs w:val="24"/>
        </w:rPr>
        <w:t>Topic 606, Revenue from Contracts with Customers</w:t>
      </w:r>
    </w:p>
    <w:p w14:paraId="09F1C6B0" w14:textId="77777777" w:rsidR="00596519" w:rsidRPr="00F7682A" w:rsidRDefault="00596519" w:rsidP="00596519">
      <w:pPr>
        <w:rPr>
          <w:rFonts w:ascii="Arial" w:hAnsi="Arial" w:cs="Arial"/>
          <w:sz w:val="24"/>
          <w:szCs w:val="24"/>
        </w:rPr>
      </w:pPr>
      <w:r w:rsidRPr="00F7682A">
        <w:rPr>
          <w:rFonts w:ascii="Arial" w:hAnsi="Arial" w:cs="Arial"/>
          <w:sz w:val="24"/>
          <w:szCs w:val="24"/>
        </w:rPr>
        <w:t>Subtopic 606-10, Overall</w:t>
      </w:r>
    </w:p>
    <w:p w14:paraId="1B6001DE" w14:textId="77777777" w:rsidR="00596519" w:rsidRPr="00F7682A" w:rsidRDefault="00596519" w:rsidP="00596519">
      <w:pPr>
        <w:rPr>
          <w:rFonts w:ascii="Arial" w:hAnsi="Arial" w:cs="Arial"/>
          <w:sz w:val="24"/>
          <w:szCs w:val="24"/>
        </w:rPr>
      </w:pPr>
      <w:r w:rsidRPr="00F7682A">
        <w:rPr>
          <w:rFonts w:ascii="Arial" w:hAnsi="Arial" w:cs="Arial"/>
          <w:sz w:val="24"/>
          <w:szCs w:val="24"/>
        </w:rPr>
        <w:t>Section 55, Implementation Guidance and Illustrations</w:t>
      </w:r>
    </w:p>
    <w:p w14:paraId="4D345067" w14:textId="77777777" w:rsidR="00596519" w:rsidRPr="00F7682A" w:rsidRDefault="00596519" w:rsidP="00596519">
      <w:pPr>
        <w:rPr>
          <w:rFonts w:ascii="Arial" w:hAnsi="Arial" w:cs="Arial"/>
          <w:sz w:val="24"/>
          <w:szCs w:val="24"/>
        </w:rPr>
      </w:pPr>
      <w:r w:rsidRPr="00F7682A">
        <w:rPr>
          <w:rFonts w:ascii="Arial" w:hAnsi="Arial" w:cs="Arial"/>
          <w:sz w:val="24"/>
          <w:szCs w:val="24"/>
        </w:rPr>
        <w:t>ASC 606-10-55-30 through 55-35, Warranties</w:t>
      </w:r>
    </w:p>
    <w:p w14:paraId="7FA29DBD" w14:textId="77777777" w:rsidR="004B3295" w:rsidRDefault="004B3295" w:rsidP="00596519">
      <w:pPr>
        <w:rPr>
          <w:rFonts w:ascii="Arial" w:hAnsi="Arial" w:cs="Arial"/>
          <w:i/>
          <w:iCs/>
          <w:sz w:val="24"/>
          <w:szCs w:val="24"/>
          <w:u w:val="single"/>
        </w:rPr>
      </w:pPr>
    </w:p>
    <w:p w14:paraId="04DE88FF" w14:textId="77777777" w:rsidR="004B3295" w:rsidRDefault="004B3295" w:rsidP="00596519">
      <w:pPr>
        <w:rPr>
          <w:rFonts w:ascii="Arial" w:hAnsi="Arial" w:cs="Arial"/>
          <w:i/>
          <w:iCs/>
          <w:sz w:val="24"/>
          <w:szCs w:val="24"/>
          <w:u w:val="single"/>
        </w:rPr>
      </w:pPr>
    </w:p>
    <w:p w14:paraId="766A2178" w14:textId="77777777" w:rsidR="0018270C" w:rsidRDefault="0018270C" w:rsidP="00596519">
      <w:pPr>
        <w:rPr>
          <w:rFonts w:ascii="Arial" w:hAnsi="Arial" w:cs="Arial"/>
          <w:i/>
          <w:iCs/>
          <w:sz w:val="24"/>
          <w:szCs w:val="24"/>
          <w:u w:val="single"/>
        </w:rPr>
      </w:pPr>
    </w:p>
    <w:p w14:paraId="6AFD6671" w14:textId="1C8A68AD"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Analysis</w:t>
      </w:r>
    </w:p>
    <w:p w14:paraId="48BE6D51" w14:textId="79DBF1D0" w:rsidR="00596519" w:rsidRPr="00F7682A" w:rsidRDefault="00596519" w:rsidP="00596519">
      <w:pPr>
        <w:rPr>
          <w:rFonts w:ascii="Arial" w:hAnsi="Arial" w:cs="Arial"/>
          <w:sz w:val="24"/>
          <w:szCs w:val="24"/>
        </w:rPr>
      </w:pPr>
      <w:r w:rsidRPr="00F7682A">
        <w:rPr>
          <w:rFonts w:ascii="Arial" w:hAnsi="Arial" w:cs="Arial"/>
          <w:sz w:val="24"/>
          <w:szCs w:val="24"/>
        </w:rPr>
        <w:t>ASC 606-10-55-30 through 55-35 requires an entity to evaluate the nature of a warranty. If a warranty provides only assurance that the product complies with agreed-upon specifications, the warranty is not a separate performance obligation. If the warranty provides a service in addition to that assurance, the entity accounts for the service as a separate performance obligation.</w:t>
      </w:r>
    </w:p>
    <w:p w14:paraId="3136AF0C" w14:textId="05D8B8C5" w:rsidR="00596519" w:rsidRPr="00F7682A" w:rsidRDefault="00596519" w:rsidP="00596519">
      <w:pPr>
        <w:rPr>
          <w:rFonts w:ascii="Arial" w:hAnsi="Arial" w:cs="Arial"/>
          <w:sz w:val="24"/>
          <w:szCs w:val="24"/>
        </w:rPr>
      </w:pPr>
      <w:r w:rsidRPr="00F7682A">
        <w:rPr>
          <w:rFonts w:ascii="Arial" w:hAnsi="Arial" w:cs="Arial"/>
          <w:sz w:val="24"/>
          <w:szCs w:val="24"/>
        </w:rPr>
        <w:t>Based on the agreement, Ramesses II handles warranty claims during the first year and provides customers with refunds or exchanges for Model E computers. KTSB reimburses Ramesses II for the related amounts and shipping costs. KTSB should therefore evaluate whether these obligations are limited to correcting defects that existed when control transferred or whether the warranty provides a service beyond that assurance. The fact that Ramesses II provides refunds or exchanges does not by itself establish that the warranty is a separate performance obligation; KTSB must evaluate the specific nature of the warranty coverage.</w:t>
      </w:r>
    </w:p>
    <w:p w14:paraId="19E6299E" w14:textId="77777777" w:rsidR="00596519" w:rsidRPr="004B3295" w:rsidRDefault="00596519" w:rsidP="00596519">
      <w:pPr>
        <w:rPr>
          <w:rFonts w:ascii="Arial" w:hAnsi="Arial" w:cs="Arial"/>
          <w:i/>
          <w:iCs/>
          <w:sz w:val="24"/>
          <w:szCs w:val="24"/>
          <w:u w:val="single"/>
        </w:rPr>
      </w:pPr>
      <w:r w:rsidRPr="004B3295">
        <w:rPr>
          <w:rFonts w:ascii="Arial" w:hAnsi="Arial" w:cs="Arial"/>
          <w:i/>
          <w:iCs/>
          <w:sz w:val="24"/>
          <w:szCs w:val="24"/>
          <w:u w:val="single"/>
        </w:rPr>
        <w:t>Recommendation</w:t>
      </w:r>
    </w:p>
    <w:p w14:paraId="36A913A9" w14:textId="77777777" w:rsidR="00596519" w:rsidRPr="00F7682A" w:rsidRDefault="00596519" w:rsidP="00596519">
      <w:pPr>
        <w:rPr>
          <w:rFonts w:ascii="Arial" w:hAnsi="Arial" w:cs="Arial"/>
          <w:sz w:val="24"/>
          <w:szCs w:val="24"/>
        </w:rPr>
      </w:pPr>
      <w:r w:rsidRPr="00F7682A">
        <w:rPr>
          <w:rFonts w:ascii="Arial" w:hAnsi="Arial" w:cs="Arial"/>
          <w:sz w:val="24"/>
          <w:szCs w:val="24"/>
        </w:rPr>
        <w:t>KTSB should:</w:t>
      </w:r>
    </w:p>
    <w:p w14:paraId="0B7D8996" w14:textId="77777777" w:rsidR="00596519" w:rsidRPr="00F7682A" w:rsidRDefault="00596519" w:rsidP="009C613C">
      <w:pPr>
        <w:pStyle w:val="ListParagraph"/>
        <w:numPr>
          <w:ilvl w:val="0"/>
          <w:numId w:val="14"/>
        </w:numPr>
        <w:rPr>
          <w:rFonts w:ascii="Arial" w:hAnsi="Arial" w:cs="Arial"/>
          <w:sz w:val="24"/>
          <w:szCs w:val="24"/>
        </w:rPr>
      </w:pPr>
      <w:r w:rsidRPr="00F7682A">
        <w:rPr>
          <w:rFonts w:ascii="Arial" w:hAnsi="Arial" w:cs="Arial"/>
          <w:sz w:val="24"/>
          <w:szCs w:val="24"/>
        </w:rPr>
        <w:t>Evaluate the warranty under ASC 606-10-55-30 through 55-35 to determine whether it is an assurance-type warranty or provides an additional service.</w:t>
      </w:r>
    </w:p>
    <w:p w14:paraId="6A1400AD" w14:textId="77777777" w:rsidR="00596519" w:rsidRPr="00F7682A" w:rsidRDefault="00596519" w:rsidP="009C613C">
      <w:pPr>
        <w:pStyle w:val="ListParagraph"/>
        <w:numPr>
          <w:ilvl w:val="0"/>
          <w:numId w:val="14"/>
        </w:numPr>
        <w:rPr>
          <w:rFonts w:ascii="Arial" w:hAnsi="Arial" w:cs="Arial"/>
          <w:sz w:val="24"/>
          <w:szCs w:val="24"/>
        </w:rPr>
      </w:pPr>
      <w:r w:rsidRPr="00F7682A">
        <w:rPr>
          <w:rFonts w:ascii="Arial" w:hAnsi="Arial" w:cs="Arial"/>
          <w:sz w:val="24"/>
          <w:szCs w:val="24"/>
        </w:rPr>
        <w:t>If the warranty is an assurance-type warranty, recognize the related expected warranty costs and liability in accordance with applicable guidance.</w:t>
      </w:r>
    </w:p>
    <w:p w14:paraId="1C6AEE1A" w14:textId="77777777" w:rsidR="00596519" w:rsidRPr="00F7682A" w:rsidRDefault="00596519" w:rsidP="009C613C">
      <w:pPr>
        <w:pStyle w:val="ListParagraph"/>
        <w:numPr>
          <w:ilvl w:val="0"/>
          <w:numId w:val="14"/>
        </w:numPr>
        <w:rPr>
          <w:rFonts w:ascii="Arial" w:hAnsi="Arial" w:cs="Arial"/>
          <w:sz w:val="24"/>
          <w:szCs w:val="24"/>
        </w:rPr>
      </w:pPr>
      <w:r w:rsidRPr="00F7682A">
        <w:rPr>
          <w:rFonts w:ascii="Arial" w:hAnsi="Arial" w:cs="Arial"/>
          <w:sz w:val="24"/>
          <w:szCs w:val="24"/>
        </w:rPr>
        <w:t>If the warranty provides an additional service, allocate a portion of the transaction price to that performance obligation and recognize the related revenue as the service is provided.</w:t>
      </w:r>
    </w:p>
    <w:p w14:paraId="4D3D1B95" w14:textId="77777777" w:rsidR="00596519" w:rsidRPr="00F7682A" w:rsidRDefault="00596519" w:rsidP="009C613C">
      <w:pPr>
        <w:pStyle w:val="ListParagraph"/>
        <w:numPr>
          <w:ilvl w:val="0"/>
          <w:numId w:val="14"/>
        </w:numPr>
        <w:rPr>
          <w:rFonts w:ascii="Arial" w:hAnsi="Arial" w:cs="Arial"/>
          <w:sz w:val="24"/>
          <w:szCs w:val="24"/>
        </w:rPr>
      </w:pPr>
      <w:r w:rsidRPr="00F7682A">
        <w:rPr>
          <w:rFonts w:ascii="Arial" w:hAnsi="Arial" w:cs="Arial"/>
          <w:sz w:val="24"/>
          <w:szCs w:val="24"/>
        </w:rPr>
        <w:t>Account for the expected refunds, exchanges, and related reimbursement obligations based on the nature of the warranty and the applicable ASC 606 requirements.</w:t>
      </w:r>
    </w:p>
    <w:p w14:paraId="3C580F8D" w14:textId="77777777" w:rsidR="00596519" w:rsidRPr="00F7682A" w:rsidRDefault="00596519" w:rsidP="009C613C">
      <w:pPr>
        <w:pStyle w:val="ListParagraph"/>
        <w:numPr>
          <w:ilvl w:val="0"/>
          <w:numId w:val="14"/>
        </w:numPr>
        <w:rPr>
          <w:rFonts w:ascii="Arial" w:hAnsi="Arial" w:cs="Arial"/>
          <w:sz w:val="24"/>
          <w:szCs w:val="24"/>
        </w:rPr>
      </w:pPr>
      <w:r w:rsidRPr="00F7682A">
        <w:rPr>
          <w:rFonts w:ascii="Arial" w:hAnsi="Arial" w:cs="Arial"/>
          <w:sz w:val="24"/>
          <w:szCs w:val="24"/>
        </w:rPr>
        <w:t>Reassess the accounting treatment as additional information about warranty claims and customer returns becomes available.</w:t>
      </w:r>
    </w:p>
    <w:p w14:paraId="4F75AA7C" w14:textId="77777777" w:rsidR="00B10CCA" w:rsidRPr="00F7682A" w:rsidRDefault="00B10CCA" w:rsidP="00B10CCA">
      <w:pPr>
        <w:rPr>
          <w:rFonts w:ascii="Arial" w:hAnsi="Arial" w:cs="Arial"/>
          <w:sz w:val="24"/>
          <w:szCs w:val="24"/>
        </w:rPr>
      </w:pPr>
    </w:p>
    <w:p w14:paraId="3891B724" w14:textId="77777777" w:rsidR="009C613C" w:rsidRPr="00F7682A" w:rsidRDefault="009C613C" w:rsidP="00B10CCA">
      <w:pPr>
        <w:rPr>
          <w:rFonts w:ascii="Arial" w:hAnsi="Arial" w:cs="Arial"/>
          <w:sz w:val="24"/>
          <w:szCs w:val="24"/>
        </w:rPr>
      </w:pPr>
    </w:p>
    <w:p w14:paraId="2B29B955" w14:textId="77777777" w:rsidR="009C613C" w:rsidRPr="00F7682A" w:rsidRDefault="009C613C" w:rsidP="00B10CCA">
      <w:pPr>
        <w:rPr>
          <w:rFonts w:ascii="Arial" w:hAnsi="Arial" w:cs="Arial"/>
          <w:sz w:val="24"/>
          <w:szCs w:val="24"/>
        </w:rPr>
      </w:pPr>
    </w:p>
    <w:p w14:paraId="76125A67" w14:textId="77777777" w:rsidR="009C613C" w:rsidRPr="00F7682A" w:rsidRDefault="009C613C" w:rsidP="00B10CCA">
      <w:pPr>
        <w:rPr>
          <w:rFonts w:ascii="Arial" w:hAnsi="Arial" w:cs="Arial"/>
          <w:sz w:val="24"/>
          <w:szCs w:val="24"/>
        </w:rPr>
      </w:pPr>
    </w:p>
    <w:p w14:paraId="13D36241" w14:textId="77777777" w:rsidR="009C613C" w:rsidRPr="00F7682A" w:rsidRDefault="009C613C" w:rsidP="00B10CCA">
      <w:pPr>
        <w:rPr>
          <w:rFonts w:ascii="Arial" w:hAnsi="Arial" w:cs="Arial"/>
          <w:sz w:val="24"/>
          <w:szCs w:val="24"/>
        </w:rPr>
      </w:pPr>
    </w:p>
    <w:p w14:paraId="050D2601" w14:textId="77777777" w:rsidR="009C613C" w:rsidRPr="00F7682A" w:rsidRDefault="009C613C" w:rsidP="00B10CCA">
      <w:pPr>
        <w:rPr>
          <w:rFonts w:ascii="Arial" w:hAnsi="Arial" w:cs="Arial"/>
          <w:sz w:val="24"/>
          <w:szCs w:val="24"/>
        </w:rPr>
      </w:pPr>
    </w:p>
    <w:p w14:paraId="60123662" w14:textId="77777777" w:rsidR="009C613C" w:rsidRPr="00F7682A" w:rsidRDefault="009C613C" w:rsidP="00B10CCA">
      <w:pPr>
        <w:rPr>
          <w:rFonts w:ascii="Arial" w:hAnsi="Arial" w:cs="Arial"/>
          <w:sz w:val="24"/>
          <w:szCs w:val="24"/>
        </w:rPr>
      </w:pPr>
    </w:p>
    <w:p w14:paraId="38E61A73" w14:textId="77777777" w:rsidR="009C613C" w:rsidRPr="00F7682A" w:rsidRDefault="009C613C" w:rsidP="00B10CCA">
      <w:pPr>
        <w:rPr>
          <w:rFonts w:ascii="Arial" w:hAnsi="Arial" w:cs="Arial"/>
          <w:sz w:val="24"/>
          <w:szCs w:val="24"/>
        </w:rPr>
      </w:pPr>
    </w:p>
    <w:p w14:paraId="6065A60F" w14:textId="77777777" w:rsidR="009C613C" w:rsidRPr="00F7682A" w:rsidRDefault="009C613C" w:rsidP="00B10CCA">
      <w:pPr>
        <w:rPr>
          <w:rFonts w:ascii="Arial" w:hAnsi="Arial" w:cs="Arial"/>
          <w:sz w:val="24"/>
          <w:szCs w:val="24"/>
        </w:rPr>
      </w:pPr>
    </w:p>
    <w:p w14:paraId="37F1F31A" w14:textId="77777777" w:rsidR="00B10CCA" w:rsidRPr="00F7682A" w:rsidRDefault="00B10CCA" w:rsidP="00B10CCA">
      <w:pPr>
        <w:rPr>
          <w:rFonts w:ascii="Arial" w:hAnsi="Arial" w:cs="Arial"/>
          <w:sz w:val="24"/>
          <w:szCs w:val="24"/>
        </w:rPr>
      </w:pPr>
    </w:p>
    <w:p w14:paraId="45144524" w14:textId="77777777" w:rsidR="00B10CCA" w:rsidRPr="00F7682A" w:rsidRDefault="00B10CCA" w:rsidP="00B10CCA">
      <w:pPr>
        <w:rPr>
          <w:rFonts w:ascii="Arial" w:hAnsi="Arial" w:cs="Arial"/>
          <w:sz w:val="24"/>
          <w:szCs w:val="24"/>
        </w:rPr>
      </w:pPr>
    </w:p>
    <w:p w14:paraId="571EA22D" w14:textId="77777777" w:rsidR="00B10CCA" w:rsidRPr="00F7682A" w:rsidRDefault="00B10CCA" w:rsidP="00B10CCA">
      <w:pPr>
        <w:rPr>
          <w:rFonts w:ascii="Arial" w:hAnsi="Arial" w:cs="Arial"/>
          <w:sz w:val="24"/>
          <w:szCs w:val="24"/>
        </w:rPr>
      </w:pPr>
    </w:p>
    <w:p w14:paraId="1D0C8A72" w14:textId="77777777" w:rsidR="00B10CCA" w:rsidRPr="00F7682A" w:rsidRDefault="00B10CCA" w:rsidP="00B10CCA">
      <w:pPr>
        <w:rPr>
          <w:rFonts w:ascii="Arial" w:hAnsi="Arial" w:cs="Arial"/>
          <w:b/>
          <w:bCs/>
          <w:sz w:val="24"/>
          <w:szCs w:val="24"/>
        </w:rPr>
      </w:pPr>
      <w:r w:rsidRPr="00F7682A">
        <w:rPr>
          <w:rFonts w:ascii="Arial" w:hAnsi="Arial" w:cs="Arial"/>
          <w:b/>
          <w:bCs/>
          <w:sz w:val="24"/>
          <w:szCs w:val="24"/>
        </w:rPr>
        <w:t>References</w:t>
      </w:r>
    </w:p>
    <w:p w14:paraId="0527EE31" w14:textId="77777777" w:rsidR="00B10CCA" w:rsidRPr="00F7682A" w:rsidRDefault="00B10CCA" w:rsidP="00B10CCA">
      <w:pPr>
        <w:rPr>
          <w:rFonts w:ascii="Arial" w:hAnsi="Arial" w:cs="Arial"/>
          <w:sz w:val="24"/>
          <w:szCs w:val="24"/>
        </w:rPr>
      </w:pPr>
      <w:r w:rsidRPr="00F7682A">
        <w:rPr>
          <w:rFonts w:ascii="Arial" w:hAnsi="Arial" w:cs="Arial"/>
          <w:sz w:val="24"/>
          <w:szCs w:val="24"/>
        </w:rPr>
        <w:t xml:space="preserve">Financial Accounting Standards Board. (2014). </w:t>
      </w:r>
      <w:r w:rsidRPr="00F7682A">
        <w:rPr>
          <w:rFonts w:ascii="Arial" w:hAnsi="Arial" w:cs="Arial"/>
          <w:i/>
          <w:iCs/>
          <w:sz w:val="24"/>
          <w:szCs w:val="24"/>
        </w:rPr>
        <w:t>Accounting Standards Update No. 2014-09: Revenue from Contracts with Customers (Topic 606).</w:t>
      </w:r>
    </w:p>
    <w:p w14:paraId="67E978CF" w14:textId="77777777" w:rsidR="00B10CCA" w:rsidRPr="00F7682A" w:rsidRDefault="00B10CCA" w:rsidP="00B10CCA">
      <w:pPr>
        <w:rPr>
          <w:rFonts w:ascii="Arial" w:hAnsi="Arial" w:cs="Arial"/>
          <w:sz w:val="24"/>
          <w:szCs w:val="24"/>
        </w:rPr>
      </w:pPr>
      <w:r w:rsidRPr="00F7682A">
        <w:rPr>
          <w:rFonts w:ascii="Arial" w:hAnsi="Arial" w:cs="Arial"/>
          <w:sz w:val="24"/>
          <w:szCs w:val="24"/>
        </w:rPr>
        <w:t xml:space="preserve">Financial Accounting Standards Board. (n.d.). </w:t>
      </w:r>
      <w:r w:rsidRPr="00F7682A">
        <w:rPr>
          <w:rFonts w:ascii="Arial" w:hAnsi="Arial" w:cs="Arial"/>
          <w:i/>
          <w:iCs/>
          <w:sz w:val="24"/>
          <w:szCs w:val="24"/>
        </w:rPr>
        <w:t>Accounting Standards Codification Topic 606: Revenue from Contracts with Customers.</w:t>
      </w:r>
    </w:p>
    <w:p w14:paraId="02CC8115" w14:textId="77777777" w:rsidR="00B10CCA" w:rsidRPr="00F7682A" w:rsidRDefault="00B10CCA" w:rsidP="00B10CCA">
      <w:pPr>
        <w:rPr>
          <w:rFonts w:ascii="Arial" w:hAnsi="Arial" w:cs="Arial"/>
          <w:sz w:val="24"/>
          <w:szCs w:val="24"/>
        </w:rPr>
      </w:pPr>
      <w:r w:rsidRPr="00F7682A">
        <w:rPr>
          <w:rFonts w:ascii="Arial" w:hAnsi="Arial" w:cs="Arial"/>
          <w:sz w:val="24"/>
          <w:szCs w:val="24"/>
        </w:rPr>
        <w:t xml:space="preserve">Financial Accounting Standards Board. (n.d.). </w:t>
      </w:r>
      <w:r w:rsidRPr="00F7682A">
        <w:rPr>
          <w:rFonts w:ascii="Arial" w:hAnsi="Arial" w:cs="Arial"/>
          <w:i/>
          <w:iCs/>
          <w:sz w:val="24"/>
          <w:szCs w:val="24"/>
        </w:rPr>
        <w:t>Accounting Standards Codification Topic 460: Guarantees.</w:t>
      </w:r>
    </w:p>
    <w:p w14:paraId="7A80BAF9" w14:textId="77777777" w:rsidR="00B10CCA" w:rsidRPr="00F7682A" w:rsidRDefault="00B10CCA" w:rsidP="00B10CCA">
      <w:pPr>
        <w:rPr>
          <w:rFonts w:ascii="Arial" w:hAnsi="Arial" w:cs="Arial"/>
          <w:sz w:val="24"/>
          <w:szCs w:val="24"/>
        </w:rPr>
      </w:pPr>
      <w:r w:rsidRPr="00F7682A">
        <w:rPr>
          <w:rFonts w:ascii="Arial" w:hAnsi="Arial" w:cs="Arial"/>
          <w:sz w:val="24"/>
          <w:szCs w:val="24"/>
        </w:rPr>
        <w:t xml:space="preserve">Western Governors University. (n.d.). </w:t>
      </w:r>
      <w:r w:rsidRPr="00F7682A">
        <w:rPr>
          <w:rFonts w:ascii="Arial" w:hAnsi="Arial" w:cs="Arial"/>
          <w:i/>
          <w:iCs/>
          <w:sz w:val="24"/>
          <w:szCs w:val="24"/>
        </w:rPr>
        <w:t>KTSB and Ramesses II Agreement.</w:t>
      </w:r>
    </w:p>
    <w:p w14:paraId="488B0096" w14:textId="08FB8BAA" w:rsidR="00F34678" w:rsidRPr="00F7682A" w:rsidRDefault="00B10CCA" w:rsidP="001F3549">
      <w:pPr>
        <w:rPr>
          <w:rFonts w:ascii="Arial" w:hAnsi="Arial" w:cs="Arial"/>
          <w:sz w:val="24"/>
          <w:szCs w:val="24"/>
        </w:rPr>
      </w:pPr>
      <w:r w:rsidRPr="00F7682A">
        <w:rPr>
          <w:rFonts w:ascii="Arial" w:hAnsi="Arial" w:cs="Arial"/>
          <w:sz w:val="24"/>
          <w:szCs w:val="24"/>
        </w:rPr>
        <w:t xml:space="preserve">Western Governors University. (n.d.). </w:t>
      </w:r>
      <w:r w:rsidRPr="00F7682A">
        <w:rPr>
          <w:rFonts w:ascii="Arial" w:hAnsi="Arial" w:cs="Arial"/>
          <w:i/>
          <w:iCs/>
          <w:sz w:val="24"/>
          <w:szCs w:val="24"/>
        </w:rPr>
        <w:t>Accounting Research and Critical Thinking course materials.</w:t>
      </w:r>
    </w:p>
    <w:sectPr w:rsidR="00F34678" w:rsidRPr="00F7682A" w:rsidSect="00FE2AAF">
      <w:pgSz w:w="12240" w:h="15840"/>
      <w:pgMar w:top="720" w:right="720"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5EBB" w14:textId="77777777" w:rsidR="00A31DEF" w:rsidRDefault="00A31DEF" w:rsidP="001133A5">
      <w:pPr>
        <w:spacing w:after="0"/>
      </w:pPr>
      <w:r>
        <w:separator/>
      </w:r>
    </w:p>
  </w:endnote>
  <w:endnote w:type="continuationSeparator" w:id="0">
    <w:p w14:paraId="28D29C33" w14:textId="77777777" w:rsidR="00A31DEF" w:rsidRDefault="00A31DEF" w:rsidP="001133A5">
      <w:pPr>
        <w:spacing w:after="0"/>
      </w:pPr>
      <w:r>
        <w:continuationSeparator/>
      </w:r>
    </w:p>
  </w:endnote>
  <w:endnote w:type="continuationNotice" w:id="1">
    <w:p w14:paraId="67930ECE" w14:textId="77777777" w:rsidR="00A31DEF" w:rsidRDefault="00A31D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76A46" w14:textId="77777777" w:rsidR="00A31DEF" w:rsidRDefault="00A31DEF" w:rsidP="001133A5">
      <w:pPr>
        <w:spacing w:after="0"/>
      </w:pPr>
      <w:r>
        <w:separator/>
      </w:r>
    </w:p>
  </w:footnote>
  <w:footnote w:type="continuationSeparator" w:id="0">
    <w:p w14:paraId="266AC6AE" w14:textId="77777777" w:rsidR="00A31DEF" w:rsidRDefault="00A31DEF" w:rsidP="001133A5">
      <w:pPr>
        <w:spacing w:after="0"/>
      </w:pPr>
      <w:r>
        <w:continuationSeparator/>
      </w:r>
    </w:p>
  </w:footnote>
  <w:footnote w:type="continuationNotice" w:id="1">
    <w:p w14:paraId="74F1AF96" w14:textId="77777777" w:rsidR="00A31DEF" w:rsidRDefault="00A31DE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078D"/>
    <w:multiLevelType w:val="hybridMultilevel"/>
    <w:tmpl w:val="B8820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4307D"/>
    <w:multiLevelType w:val="multilevel"/>
    <w:tmpl w:val="AF3A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94B5F"/>
    <w:multiLevelType w:val="hybridMultilevel"/>
    <w:tmpl w:val="9F64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57476"/>
    <w:multiLevelType w:val="multilevel"/>
    <w:tmpl w:val="4D04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32D2E"/>
    <w:multiLevelType w:val="multilevel"/>
    <w:tmpl w:val="0064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72CBA"/>
    <w:multiLevelType w:val="multilevel"/>
    <w:tmpl w:val="30C6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814B9"/>
    <w:multiLevelType w:val="multilevel"/>
    <w:tmpl w:val="6F1C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B259B9"/>
    <w:multiLevelType w:val="multilevel"/>
    <w:tmpl w:val="AF7A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B6250"/>
    <w:multiLevelType w:val="multilevel"/>
    <w:tmpl w:val="BE42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8204F3"/>
    <w:multiLevelType w:val="multilevel"/>
    <w:tmpl w:val="3C0E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257853"/>
    <w:multiLevelType w:val="multilevel"/>
    <w:tmpl w:val="9058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7E0DEB"/>
    <w:multiLevelType w:val="hybridMultilevel"/>
    <w:tmpl w:val="58F2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05480"/>
    <w:multiLevelType w:val="hybridMultilevel"/>
    <w:tmpl w:val="087E2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8512F"/>
    <w:multiLevelType w:val="multilevel"/>
    <w:tmpl w:val="8DE0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19046">
    <w:abstractNumId w:val="3"/>
  </w:num>
  <w:num w:numId="2" w16cid:durableId="1204513466">
    <w:abstractNumId w:val="4"/>
  </w:num>
  <w:num w:numId="3" w16cid:durableId="2090422434">
    <w:abstractNumId w:val="8"/>
  </w:num>
  <w:num w:numId="4" w16cid:durableId="700741427">
    <w:abstractNumId w:val="5"/>
  </w:num>
  <w:num w:numId="5" w16cid:durableId="1607807567">
    <w:abstractNumId w:val="6"/>
  </w:num>
  <w:num w:numId="6" w16cid:durableId="988703942">
    <w:abstractNumId w:val="7"/>
  </w:num>
  <w:num w:numId="7" w16cid:durableId="284040066">
    <w:abstractNumId w:val="9"/>
  </w:num>
  <w:num w:numId="8" w16cid:durableId="2037659850">
    <w:abstractNumId w:val="13"/>
  </w:num>
  <w:num w:numId="9" w16cid:durableId="2079286201">
    <w:abstractNumId w:val="10"/>
  </w:num>
  <w:num w:numId="10" w16cid:durableId="716659115">
    <w:abstractNumId w:val="1"/>
  </w:num>
  <w:num w:numId="11" w16cid:durableId="164328639">
    <w:abstractNumId w:val="0"/>
  </w:num>
  <w:num w:numId="12" w16cid:durableId="872310126">
    <w:abstractNumId w:val="11"/>
  </w:num>
  <w:num w:numId="13" w16cid:durableId="836772682">
    <w:abstractNumId w:val="12"/>
  </w:num>
  <w:num w:numId="14" w16cid:durableId="1224441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73F"/>
    <w:rsid w:val="00011E30"/>
    <w:rsid w:val="000B2583"/>
    <w:rsid w:val="001133A5"/>
    <w:rsid w:val="00113436"/>
    <w:rsid w:val="00123B68"/>
    <w:rsid w:val="00153B07"/>
    <w:rsid w:val="00161551"/>
    <w:rsid w:val="00165562"/>
    <w:rsid w:val="0018270C"/>
    <w:rsid w:val="001925A6"/>
    <w:rsid w:val="001E0EDD"/>
    <w:rsid w:val="001F3549"/>
    <w:rsid w:val="0020573F"/>
    <w:rsid w:val="00323199"/>
    <w:rsid w:val="00335413"/>
    <w:rsid w:val="00340417"/>
    <w:rsid w:val="003456F5"/>
    <w:rsid w:val="003471E8"/>
    <w:rsid w:val="0036100B"/>
    <w:rsid w:val="003666D6"/>
    <w:rsid w:val="00367222"/>
    <w:rsid w:val="00375D9E"/>
    <w:rsid w:val="003A3642"/>
    <w:rsid w:val="003D70D2"/>
    <w:rsid w:val="00404B62"/>
    <w:rsid w:val="004B3295"/>
    <w:rsid w:val="00523CB1"/>
    <w:rsid w:val="00580B81"/>
    <w:rsid w:val="00596519"/>
    <w:rsid w:val="006009F5"/>
    <w:rsid w:val="00620628"/>
    <w:rsid w:val="006A6B00"/>
    <w:rsid w:val="006D7A6C"/>
    <w:rsid w:val="007061DB"/>
    <w:rsid w:val="00711B74"/>
    <w:rsid w:val="007120F1"/>
    <w:rsid w:val="00836563"/>
    <w:rsid w:val="00880210"/>
    <w:rsid w:val="0089516C"/>
    <w:rsid w:val="00931E5E"/>
    <w:rsid w:val="009C613C"/>
    <w:rsid w:val="009D5C92"/>
    <w:rsid w:val="009F659F"/>
    <w:rsid w:val="00A31DEF"/>
    <w:rsid w:val="00A66CA2"/>
    <w:rsid w:val="00AC7417"/>
    <w:rsid w:val="00AF0ED8"/>
    <w:rsid w:val="00B10CCA"/>
    <w:rsid w:val="00B16BAA"/>
    <w:rsid w:val="00B24126"/>
    <w:rsid w:val="00B37731"/>
    <w:rsid w:val="00B94968"/>
    <w:rsid w:val="00DB6068"/>
    <w:rsid w:val="00E6024C"/>
    <w:rsid w:val="00F34678"/>
    <w:rsid w:val="00F60A8E"/>
    <w:rsid w:val="00F765FC"/>
    <w:rsid w:val="00F7682A"/>
    <w:rsid w:val="00F82670"/>
    <w:rsid w:val="00F93BD3"/>
    <w:rsid w:val="00FB4EE1"/>
    <w:rsid w:val="00FE2AAF"/>
    <w:rsid w:val="08BDFAFC"/>
    <w:rsid w:val="3097A10A"/>
    <w:rsid w:val="31544962"/>
    <w:rsid w:val="3456165E"/>
    <w:rsid w:val="39A21473"/>
    <w:rsid w:val="451D4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499B3"/>
  <w15:chartTrackingRefBased/>
  <w15:docId w15:val="{9A291641-277E-49BE-A188-C038AA78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CCA"/>
  </w:style>
  <w:style w:type="paragraph" w:styleId="Heading1">
    <w:name w:val="heading 1"/>
    <w:basedOn w:val="Normal"/>
    <w:next w:val="Normal"/>
    <w:link w:val="Heading1Char"/>
    <w:uiPriority w:val="9"/>
    <w:qFormat/>
    <w:rsid w:val="00B10CCA"/>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B10CCA"/>
    <w:pPr>
      <w:spacing w:after="0"/>
      <w:jc w:val="left"/>
      <w:outlineLvl w:val="1"/>
    </w:pPr>
    <w:rPr>
      <w:smallCaps/>
      <w:spacing w:val="5"/>
      <w:sz w:val="28"/>
      <w:szCs w:val="28"/>
    </w:rPr>
  </w:style>
  <w:style w:type="paragraph" w:styleId="Heading3">
    <w:name w:val="heading 3"/>
    <w:aliases w:val="Paragraph"/>
    <w:basedOn w:val="Normal"/>
    <w:next w:val="Normal"/>
    <w:link w:val="Heading3Char"/>
    <w:uiPriority w:val="9"/>
    <w:semiHidden/>
    <w:unhideWhenUsed/>
    <w:qFormat/>
    <w:rsid w:val="00B10CCA"/>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10CCA"/>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B10CCA"/>
    <w:pPr>
      <w:spacing w:after="0"/>
      <w:jc w:val="left"/>
      <w:outlineLvl w:val="4"/>
    </w:pPr>
    <w:rPr>
      <w:smallCaps/>
      <w:color w:val="1C2631" w:themeColor="accent6" w:themeShade="BF"/>
      <w:spacing w:val="10"/>
      <w:sz w:val="22"/>
      <w:szCs w:val="22"/>
    </w:rPr>
  </w:style>
  <w:style w:type="paragraph" w:styleId="Heading6">
    <w:name w:val="heading 6"/>
    <w:basedOn w:val="Normal"/>
    <w:next w:val="Normal"/>
    <w:link w:val="Heading6Char"/>
    <w:uiPriority w:val="9"/>
    <w:semiHidden/>
    <w:unhideWhenUsed/>
    <w:qFormat/>
    <w:rsid w:val="00B10CCA"/>
    <w:pPr>
      <w:spacing w:after="0"/>
      <w:jc w:val="left"/>
      <w:outlineLvl w:val="5"/>
    </w:pPr>
    <w:rPr>
      <w:smallCaps/>
      <w:color w:val="263343" w:themeColor="accent6"/>
      <w:spacing w:val="5"/>
      <w:sz w:val="22"/>
      <w:szCs w:val="22"/>
    </w:rPr>
  </w:style>
  <w:style w:type="paragraph" w:styleId="Heading7">
    <w:name w:val="heading 7"/>
    <w:basedOn w:val="Normal"/>
    <w:next w:val="Normal"/>
    <w:link w:val="Heading7Char"/>
    <w:uiPriority w:val="9"/>
    <w:semiHidden/>
    <w:unhideWhenUsed/>
    <w:qFormat/>
    <w:rsid w:val="00B10CCA"/>
    <w:pPr>
      <w:spacing w:after="0"/>
      <w:jc w:val="left"/>
      <w:outlineLvl w:val="6"/>
    </w:pPr>
    <w:rPr>
      <w:b/>
      <w:bCs/>
      <w:smallCaps/>
      <w:color w:val="263343" w:themeColor="accent6"/>
      <w:spacing w:val="10"/>
    </w:rPr>
  </w:style>
  <w:style w:type="paragraph" w:styleId="Heading8">
    <w:name w:val="heading 8"/>
    <w:basedOn w:val="Normal"/>
    <w:next w:val="Normal"/>
    <w:link w:val="Heading8Char"/>
    <w:uiPriority w:val="9"/>
    <w:semiHidden/>
    <w:unhideWhenUsed/>
    <w:qFormat/>
    <w:rsid w:val="00B10CCA"/>
    <w:pPr>
      <w:spacing w:after="0"/>
      <w:jc w:val="left"/>
      <w:outlineLvl w:val="7"/>
    </w:pPr>
    <w:rPr>
      <w:b/>
      <w:bCs/>
      <w:i/>
      <w:iCs/>
      <w:smallCaps/>
      <w:color w:val="1C2631" w:themeColor="accent6" w:themeShade="BF"/>
    </w:rPr>
  </w:style>
  <w:style w:type="paragraph" w:styleId="Heading9">
    <w:name w:val="heading 9"/>
    <w:basedOn w:val="Normal"/>
    <w:next w:val="Normal"/>
    <w:link w:val="Heading9Char"/>
    <w:uiPriority w:val="9"/>
    <w:semiHidden/>
    <w:unhideWhenUsed/>
    <w:qFormat/>
    <w:rsid w:val="00B10CCA"/>
    <w:pPr>
      <w:spacing w:after="0"/>
      <w:jc w:val="left"/>
      <w:outlineLvl w:val="8"/>
    </w:pPr>
    <w:rPr>
      <w:b/>
      <w:bCs/>
      <w:i/>
      <w:iCs/>
      <w:smallCaps/>
      <w:color w:val="131921"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CCA"/>
    <w:rPr>
      <w:smallCaps/>
      <w:spacing w:val="5"/>
      <w:sz w:val="32"/>
      <w:szCs w:val="32"/>
    </w:rPr>
  </w:style>
  <w:style w:type="character" w:customStyle="1" w:styleId="Heading2Char">
    <w:name w:val="Heading 2 Char"/>
    <w:basedOn w:val="DefaultParagraphFont"/>
    <w:link w:val="Heading2"/>
    <w:uiPriority w:val="9"/>
    <w:semiHidden/>
    <w:rsid w:val="00B10CCA"/>
    <w:rPr>
      <w:smallCaps/>
      <w:spacing w:val="5"/>
      <w:sz w:val="28"/>
      <w:szCs w:val="28"/>
    </w:rPr>
  </w:style>
  <w:style w:type="character" w:customStyle="1" w:styleId="Heading3Char">
    <w:name w:val="Heading 3 Char"/>
    <w:aliases w:val="Paragraph Char"/>
    <w:basedOn w:val="DefaultParagraphFont"/>
    <w:link w:val="Heading3"/>
    <w:uiPriority w:val="9"/>
    <w:semiHidden/>
    <w:rsid w:val="00B10CCA"/>
    <w:rPr>
      <w:smallCaps/>
      <w:spacing w:val="5"/>
      <w:sz w:val="24"/>
      <w:szCs w:val="24"/>
    </w:rPr>
  </w:style>
  <w:style w:type="character" w:customStyle="1" w:styleId="Heading4Char">
    <w:name w:val="Heading 4 Char"/>
    <w:basedOn w:val="DefaultParagraphFont"/>
    <w:link w:val="Heading4"/>
    <w:uiPriority w:val="9"/>
    <w:semiHidden/>
    <w:rsid w:val="00B10CCA"/>
    <w:rPr>
      <w:i/>
      <w:iCs/>
      <w:smallCaps/>
      <w:spacing w:val="10"/>
      <w:sz w:val="22"/>
      <w:szCs w:val="22"/>
    </w:rPr>
  </w:style>
  <w:style w:type="character" w:customStyle="1" w:styleId="Heading5Char">
    <w:name w:val="Heading 5 Char"/>
    <w:basedOn w:val="DefaultParagraphFont"/>
    <w:link w:val="Heading5"/>
    <w:uiPriority w:val="9"/>
    <w:semiHidden/>
    <w:rsid w:val="00B10CCA"/>
    <w:rPr>
      <w:smallCaps/>
      <w:color w:val="1C2631" w:themeColor="accent6" w:themeShade="BF"/>
      <w:spacing w:val="10"/>
      <w:sz w:val="22"/>
      <w:szCs w:val="22"/>
    </w:rPr>
  </w:style>
  <w:style w:type="character" w:customStyle="1" w:styleId="Heading6Char">
    <w:name w:val="Heading 6 Char"/>
    <w:basedOn w:val="DefaultParagraphFont"/>
    <w:link w:val="Heading6"/>
    <w:uiPriority w:val="9"/>
    <w:semiHidden/>
    <w:rsid w:val="00B10CCA"/>
    <w:rPr>
      <w:smallCaps/>
      <w:color w:val="263343" w:themeColor="accent6"/>
      <w:spacing w:val="5"/>
      <w:sz w:val="22"/>
      <w:szCs w:val="22"/>
    </w:rPr>
  </w:style>
  <w:style w:type="character" w:customStyle="1" w:styleId="Heading7Char">
    <w:name w:val="Heading 7 Char"/>
    <w:basedOn w:val="DefaultParagraphFont"/>
    <w:link w:val="Heading7"/>
    <w:uiPriority w:val="9"/>
    <w:semiHidden/>
    <w:rsid w:val="00B10CCA"/>
    <w:rPr>
      <w:b/>
      <w:bCs/>
      <w:smallCaps/>
      <w:color w:val="263343" w:themeColor="accent6"/>
      <w:spacing w:val="10"/>
    </w:rPr>
  </w:style>
  <w:style w:type="character" w:customStyle="1" w:styleId="Heading8Char">
    <w:name w:val="Heading 8 Char"/>
    <w:basedOn w:val="DefaultParagraphFont"/>
    <w:link w:val="Heading8"/>
    <w:uiPriority w:val="9"/>
    <w:semiHidden/>
    <w:rsid w:val="00B10CCA"/>
    <w:rPr>
      <w:b/>
      <w:bCs/>
      <w:i/>
      <w:iCs/>
      <w:smallCaps/>
      <w:color w:val="1C2631" w:themeColor="accent6" w:themeShade="BF"/>
    </w:rPr>
  </w:style>
  <w:style w:type="character" w:customStyle="1" w:styleId="Heading9Char">
    <w:name w:val="Heading 9 Char"/>
    <w:basedOn w:val="DefaultParagraphFont"/>
    <w:link w:val="Heading9"/>
    <w:uiPriority w:val="9"/>
    <w:semiHidden/>
    <w:rsid w:val="00B10CCA"/>
    <w:rPr>
      <w:b/>
      <w:bCs/>
      <w:i/>
      <w:iCs/>
      <w:smallCaps/>
      <w:color w:val="131921" w:themeColor="accent6" w:themeShade="80"/>
    </w:rPr>
  </w:style>
  <w:style w:type="character" w:customStyle="1" w:styleId="TitleChar">
    <w:name w:val="Title Char"/>
    <w:basedOn w:val="DefaultParagraphFont"/>
    <w:link w:val="Title"/>
    <w:uiPriority w:val="10"/>
    <w:rsid w:val="00B10CCA"/>
    <w:rPr>
      <w:smallCaps/>
      <w:color w:val="262626" w:themeColor="text1" w:themeTint="D9"/>
      <w:sz w:val="52"/>
      <w:szCs w:val="52"/>
    </w:rPr>
  </w:style>
  <w:style w:type="paragraph" w:styleId="Title">
    <w:name w:val="Title"/>
    <w:basedOn w:val="Normal"/>
    <w:next w:val="Normal"/>
    <w:link w:val="TitleChar"/>
    <w:uiPriority w:val="10"/>
    <w:qFormat/>
    <w:rsid w:val="00B10CCA"/>
    <w:pPr>
      <w:pBdr>
        <w:top w:val="single" w:sz="8" w:space="1" w:color="263343" w:themeColor="accent6"/>
      </w:pBdr>
      <w:spacing w:after="120" w:line="240" w:lineRule="auto"/>
      <w:jc w:val="right"/>
    </w:pPr>
    <w:rPr>
      <w:smallCaps/>
      <w:color w:val="262626" w:themeColor="text1" w:themeTint="D9"/>
      <w:sz w:val="52"/>
      <w:szCs w:val="52"/>
    </w:rPr>
  </w:style>
  <w:style w:type="character" w:customStyle="1" w:styleId="SubtitleChar">
    <w:name w:val="Subtitle Char"/>
    <w:basedOn w:val="DefaultParagraphFont"/>
    <w:link w:val="Subtitle"/>
    <w:uiPriority w:val="11"/>
    <w:rsid w:val="00B10CCA"/>
    <w:rPr>
      <w:rFonts w:asciiTheme="majorHAnsi" w:eastAsiaTheme="majorEastAsia" w:hAnsiTheme="majorHAnsi" w:cstheme="majorBidi"/>
    </w:rPr>
  </w:style>
  <w:style w:type="paragraph" w:styleId="Subtitle">
    <w:name w:val="Subtitle"/>
    <w:basedOn w:val="Normal"/>
    <w:next w:val="Normal"/>
    <w:link w:val="SubtitleChar"/>
    <w:uiPriority w:val="11"/>
    <w:qFormat/>
    <w:rsid w:val="00B10CCA"/>
    <w:pPr>
      <w:spacing w:after="720" w:line="240" w:lineRule="auto"/>
      <w:jc w:val="right"/>
    </w:pPr>
    <w:rPr>
      <w:rFonts w:asciiTheme="majorHAnsi" w:eastAsiaTheme="majorEastAsia" w:hAnsiTheme="majorHAnsi" w:cstheme="majorBidi"/>
    </w:rPr>
  </w:style>
  <w:style w:type="character" w:styleId="IntenseEmphasis">
    <w:name w:val="Intense Emphasis"/>
    <w:uiPriority w:val="21"/>
    <w:qFormat/>
    <w:rsid w:val="00B10CCA"/>
    <w:rPr>
      <w:b/>
      <w:bCs/>
      <w:i/>
      <w:iCs/>
      <w:color w:val="263343" w:themeColor="accent6"/>
      <w:spacing w:val="10"/>
    </w:rPr>
  </w:style>
  <w:style w:type="character" w:customStyle="1" w:styleId="QuoteChar">
    <w:name w:val="Quote Char"/>
    <w:basedOn w:val="DefaultParagraphFont"/>
    <w:link w:val="Quote"/>
    <w:uiPriority w:val="29"/>
    <w:rsid w:val="00B10CCA"/>
    <w:rPr>
      <w:i/>
      <w:iCs/>
    </w:rPr>
  </w:style>
  <w:style w:type="paragraph" w:styleId="Quote">
    <w:name w:val="Quote"/>
    <w:basedOn w:val="Normal"/>
    <w:next w:val="Normal"/>
    <w:link w:val="QuoteChar"/>
    <w:uiPriority w:val="29"/>
    <w:qFormat/>
    <w:rsid w:val="00B10CCA"/>
    <w:rPr>
      <w:i/>
      <w:iCs/>
    </w:rPr>
  </w:style>
  <w:style w:type="character" w:customStyle="1" w:styleId="IntenseQuoteChar">
    <w:name w:val="Intense Quote Char"/>
    <w:basedOn w:val="DefaultParagraphFont"/>
    <w:link w:val="IntenseQuote"/>
    <w:uiPriority w:val="30"/>
    <w:rsid w:val="00B10CCA"/>
    <w:rPr>
      <w:b/>
      <w:bCs/>
      <w:i/>
      <w:iCs/>
    </w:rPr>
  </w:style>
  <w:style w:type="paragraph" w:styleId="IntenseQuote">
    <w:name w:val="Intense Quote"/>
    <w:basedOn w:val="Normal"/>
    <w:next w:val="Normal"/>
    <w:link w:val="IntenseQuoteChar"/>
    <w:uiPriority w:val="30"/>
    <w:qFormat/>
    <w:rsid w:val="00B10CCA"/>
    <w:pPr>
      <w:pBdr>
        <w:top w:val="single" w:sz="8" w:space="1" w:color="263343" w:themeColor="accent6"/>
      </w:pBdr>
      <w:spacing w:before="140" w:after="140"/>
      <w:ind w:left="1440" w:right="1440"/>
    </w:pPr>
    <w:rPr>
      <w:b/>
      <w:bCs/>
      <w:i/>
      <w:iCs/>
    </w:rPr>
  </w:style>
  <w:style w:type="character" w:styleId="IntenseReference">
    <w:name w:val="Intense Reference"/>
    <w:uiPriority w:val="32"/>
    <w:qFormat/>
    <w:rsid w:val="00B10CCA"/>
    <w:rPr>
      <w:b/>
      <w:bCs/>
      <w:smallCaps/>
      <w:spacing w:val="5"/>
      <w:sz w:val="22"/>
      <w:szCs w:val="22"/>
      <w:u w:val="single"/>
    </w:rPr>
  </w:style>
  <w:style w:type="paragraph" w:styleId="Footer">
    <w:name w:val="footer"/>
    <w:basedOn w:val="Normal"/>
    <w:link w:val="FooterChar"/>
    <w:uiPriority w:val="99"/>
    <w:semiHidden/>
    <w:rsid w:val="001133A5"/>
    <w:pPr>
      <w:tabs>
        <w:tab w:val="center" w:pos="4680"/>
        <w:tab w:val="right" w:pos="9360"/>
      </w:tabs>
      <w:spacing w:after="0"/>
    </w:pPr>
  </w:style>
  <w:style w:type="character" w:customStyle="1" w:styleId="FooterChar">
    <w:name w:val="Footer Char"/>
    <w:basedOn w:val="DefaultParagraphFont"/>
    <w:link w:val="Footer"/>
    <w:uiPriority w:val="99"/>
    <w:semiHidden/>
    <w:rsid w:val="001F3549"/>
    <w:rPr>
      <w:sz w:val="22"/>
    </w:rPr>
  </w:style>
  <w:style w:type="paragraph" w:styleId="Header">
    <w:name w:val="header"/>
    <w:basedOn w:val="Normal"/>
    <w:link w:val="HeaderChar"/>
    <w:uiPriority w:val="99"/>
    <w:semiHidden/>
    <w:rsid w:val="0089516C"/>
    <w:pPr>
      <w:tabs>
        <w:tab w:val="center" w:pos="4680"/>
        <w:tab w:val="right" w:pos="9360"/>
      </w:tabs>
      <w:spacing w:after="0"/>
    </w:pPr>
  </w:style>
  <w:style w:type="character" w:customStyle="1" w:styleId="HeaderChar">
    <w:name w:val="Header Char"/>
    <w:basedOn w:val="DefaultParagraphFont"/>
    <w:link w:val="Header"/>
    <w:uiPriority w:val="99"/>
    <w:semiHidden/>
    <w:rsid w:val="001F3549"/>
    <w:rPr>
      <w:sz w:val="22"/>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F3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rowtext">
    <w:name w:val="Top row text"/>
    <w:basedOn w:val="Heading2"/>
    <w:rsid w:val="00011E30"/>
    <w:pPr>
      <w:tabs>
        <w:tab w:val="right" w:pos="9270"/>
      </w:tabs>
      <w:ind w:left="108"/>
    </w:pPr>
    <w:rPr>
      <w:sz w:val="16"/>
    </w:rPr>
  </w:style>
  <w:style w:type="paragraph" w:customStyle="1" w:styleId="bottomrowtext">
    <w:name w:val="bottom row text"/>
    <w:basedOn w:val="Heading2"/>
    <w:rsid w:val="003471E8"/>
    <w:pPr>
      <w:tabs>
        <w:tab w:val="left" w:pos="3996"/>
        <w:tab w:val="left" w:pos="5724"/>
      </w:tabs>
      <w:spacing w:before="4800"/>
      <w:ind w:left="108"/>
    </w:pPr>
    <w:rPr>
      <w:sz w:val="16"/>
    </w:rPr>
  </w:style>
  <w:style w:type="paragraph" w:customStyle="1" w:styleId="QuarterNumber">
    <w:name w:val="Quarter Number"/>
    <w:basedOn w:val="Heading1"/>
    <w:rsid w:val="006D7A6C"/>
    <w:pPr>
      <w:spacing w:before="4200"/>
    </w:pPr>
    <w:rPr>
      <w:b/>
      <w:bCs/>
      <w:sz w:val="96"/>
    </w:rPr>
  </w:style>
  <w:style w:type="paragraph" w:customStyle="1" w:styleId="Graphicsanchor">
    <w:name w:val="Graphics anchor"/>
    <w:basedOn w:val="Normal"/>
    <w:rsid w:val="00F765FC"/>
    <w:pPr>
      <w:spacing w:after="0"/>
    </w:pPr>
    <w:rPr>
      <w:sz w:val="4"/>
      <w:szCs w:val="4"/>
    </w:rPr>
  </w:style>
  <w:style w:type="paragraph" w:styleId="Caption">
    <w:name w:val="caption"/>
    <w:basedOn w:val="Normal"/>
    <w:next w:val="Normal"/>
    <w:uiPriority w:val="35"/>
    <w:semiHidden/>
    <w:unhideWhenUsed/>
    <w:qFormat/>
    <w:rsid w:val="00B10CCA"/>
    <w:rPr>
      <w:b/>
      <w:bCs/>
      <w:caps/>
      <w:sz w:val="16"/>
      <w:szCs w:val="16"/>
    </w:rPr>
  </w:style>
  <w:style w:type="character" w:styleId="Strong">
    <w:name w:val="Strong"/>
    <w:uiPriority w:val="22"/>
    <w:qFormat/>
    <w:rsid w:val="00B10CCA"/>
    <w:rPr>
      <w:b/>
      <w:bCs/>
      <w:color w:val="263343" w:themeColor="accent6"/>
    </w:rPr>
  </w:style>
  <w:style w:type="character" w:styleId="Emphasis">
    <w:name w:val="Emphasis"/>
    <w:uiPriority w:val="20"/>
    <w:qFormat/>
    <w:rsid w:val="00B10CCA"/>
    <w:rPr>
      <w:b/>
      <w:bCs/>
      <w:i/>
      <w:iCs/>
      <w:spacing w:val="10"/>
    </w:rPr>
  </w:style>
  <w:style w:type="paragraph" w:styleId="NoSpacing">
    <w:name w:val="No Spacing"/>
    <w:uiPriority w:val="1"/>
    <w:qFormat/>
    <w:rsid w:val="00B10CCA"/>
    <w:pPr>
      <w:spacing w:after="0" w:line="240" w:lineRule="auto"/>
    </w:pPr>
  </w:style>
  <w:style w:type="character" w:styleId="SubtleEmphasis">
    <w:name w:val="Subtle Emphasis"/>
    <w:uiPriority w:val="19"/>
    <w:qFormat/>
    <w:rsid w:val="00B10CCA"/>
    <w:rPr>
      <w:i/>
      <w:iCs/>
    </w:rPr>
  </w:style>
  <w:style w:type="character" w:styleId="SubtleReference">
    <w:name w:val="Subtle Reference"/>
    <w:uiPriority w:val="31"/>
    <w:qFormat/>
    <w:rsid w:val="00B10CCA"/>
    <w:rPr>
      <w:b/>
      <w:bCs/>
    </w:rPr>
  </w:style>
  <w:style w:type="character" w:styleId="BookTitle">
    <w:name w:val="Book Title"/>
    <w:uiPriority w:val="33"/>
    <w:qFormat/>
    <w:rsid w:val="00B10CC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10CCA"/>
    <w:pPr>
      <w:outlineLvl w:val="9"/>
    </w:pPr>
  </w:style>
  <w:style w:type="paragraph" w:styleId="ListParagraph">
    <w:name w:val="List Paragraph"/>
    <w:basedOn w:val="Normal"/>
    <w:uiPriority w:val="34"/>
    <w:qFormat/>
    <w:rsid w:val="00E6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mit\AppData\Local\Microsoft\Office\16.0\DTS\en-US%7bCDAE8984-69E7-4B53-AE29-D597F45C322E%7d\%7b562D4243-2C8E-4D20-B600-072478173806%7dec3dd16a-135c-48c2-b6ca-157476fd729b-TFf0336339-45a6-4a3e-812f-7918ef210f4f_win32.dotx" TargetMode="External"/></Relationships>
</file>

<file path=word/theme/theme1.xml><?xml version="1.0" encoding="utf-8"?>
<a:theme xmlns:a="http://schemas.openxmlformats.org/drawingml/2006/main" name="Office Theme">
  <a:themeElements>
    <a:clrScheme name="Custom 27">
      <a:dk1>
        <a:srgbClr val="000000"/>
      </a:dk1>
      <a:lt1>
        <a:srgbClr val="FFFFFF"/>
      </a:lt1>
      <a:dk2>
        <a:srgbClr val="0E2841"/>
      </a:dk2>
      <a:lt2>
        <a:srgbClr val="E8E8E8"/>
      </a:lt2>
      <a:accent1>
        <a:srgbClr val="D0C262"/>
      </a:accent1>
      <a:accent2>
        <a:srgbClr val="FEB8B8"/>
      </a:accent2>
      <a:accent3>
        <a:srgbClr val="6B2138"/>
      </a:accent3>
      <a:accent4>
        <a:srgbClr val="FC5316"/>
      </a:accent4>
      <a:accent5>
        <a:srgbClr val="EEF6FF"/>
      </a:accent5>
      <a:accent6>
        <a:srgbClr val="263343"/>
      </a:accent6>
      <a:hlink>
        <a:srgbClr val="467886"/>
      </a:hlink>
      <a:folHlink>
        <a:srgbClr val="96607D"/>
      </a:folHlink>
    </a:clrScheme>
    <a:fontScheme name="Custom 18">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76B08-176C-4BDB-90D6-0C430F180BB8}">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324330ED-517D-44B3-A43E-15DF31B51B6D}">
  <ds:schemaRefs>
    <ds:schemaRef ds:uri="http://schemas.microsoft.com/sharepoint/v3/contenttype/forms"/>
  </ds:schemaRefs>
</ds:datastoreItem>
</file>

<file path=customXml/itemProps3.xml><?xml version="1.0" encoding="utf-8"?>
<ds:datastoreItem xmlns:ds="http://schemas.openxmlformats.org/officeDocument/2006/customXml" ds:itemID="{AD679BCE-5B80-4980-993B-17387E3C7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E3B4E8-21E2-4CF3-BC7B-97AB5EBF5CB9}">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{562D4243-2C8E-4D20-B600-072478173806}ec3dd16a-135c-48c2-b6ca-157476fd729b-TFf0336339-45a6-4a3e-812f-7918ef210f4f_win32</Template>
  <TotalTime>0</TotalTime>
  <Pages>9</Pages>
  <Words>2238</Words>
  <Characters>12760</Characters>
  <Application>Microsoft Office Word</Application>
  <DocSecurity>0</DocSecurity>
  <Lines>106</Lines>
  <Paragraphs>29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Prepared by: Evelyn Smith	August 8, 2026</vt:lpstr>
      <vt:lpstr>task 1</vt:lpstr>
      <vt:lpstr>    Submitted to: Clint Dillard, cpa, cgma	</vt:lpstr>
      <vt:lpstr>Part A: Four Potential Accounting Issues</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Smith</dc:creator>
  <cp:keywords/>
  <dc:description/>
  <cp:lastModifiedBy>Edrozo, Ma Arabela</cp:lastModifiedBy>
  <cp:revision>3</cp:revision>
  <cp:lastPrinted>2026-08-08T19:41:00Z</cp:lastPrinted>
  <dcterms:created xsi:type="dcterms:W3CDTF">2026-08-08T20:12:00Z</dcterms:created>
  <dcterms:modified xsi:type="dcterms:W3CDTF">2026-08-08T20:12:00Z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y fmtid="{D5CDD505-2E9C-101B-9397-08002B2CF9AE}" pid="4" name="GrammarlyDocumentId">
    <vt:lpwstr>8420a187-2fd9-4bde-be52-152b437f3e5b</vt:lpwstr>
  </property>
</Properties>
</file>